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E4ADB" w14:textId="3A6B2C7C" w:rsidR="009B0895" w:rsidRPr="00540D08" w:rsidRDefault="009B0895" w:rsidP="009B0895">
      <w:pPr>
        <w:jc w:val="center"/>
        <w:rPr>
          <w:b/>
        </w:rPr>
      </w:pPr>
      <w:r w:rsidRPr="00540D08">
        <w:rPr>
          <w:b/>
        </w:rPr>
        <w:t>EXECUTIVE SUMMARY</w:t>
      </w:r>
    </w:p>
    <w:p w14:paraId="066A968B" w14:textId="77777777" w:rsidR="009B0895" w:rsidRPr="00540D08" w:rsidRDefault="009B0895" w:rsidP="009B0895">
      <w:pPr>
        <w:rPr>
          <w:b/>
        </w:rPr>
      </w:pPr>
    </w:p>
    <w:p w14:paraId="421E03F3" w14:textId="77777777" w:rsidR="00B334D9" w:rsidRPr="00540D08" w:rsidRDefault="00B334D9" w:rsidP="009B0895">
      <w:pPr>
        <w:rPr>
          <w:b/>
        </w:rPr>
      </w:pPr>
    </w:p>
    <w:p w14:paraId="148A56A0" w14:textId="42D3724D" w:rsidR="009B0895" w:rsidRPr="00540D08" w:rsidRDefault="009B0895" w:rsidP="008C3872">
      <w:pPr>
        <w:pStyle w:val="ListParagraph"/>
        <w:numPr>
          <w:ilvl w:val="0"/>
          <w:numId w:val="1"/>
        </w:numPr>
        <w:ind w:left="360"/>
        <w:rPr>
          <w:rFonts w:ascii="Times New Roman" w:hAnsi="Times New Roman"/>
          <w:b/>
          <w:sz w:val="24"/>
          <w:szCs w:val="24"/>
        </w:rPr>
      </w:pPr>
      <w:r w:rsidRPr="00540D08">
        <w:rPr>
          <w:rFonts w:ascii="Times New Roman" w:hAnsi="Times New Roman"/>
          <w:b/>
          <w:sz w:val="24"/>
          <w:szCs w:val="24"/>
        </w:rPr>
        <w:t xml:space="preserve"> </w:t>
      </w:r>
      <w:r w:rsidR="00CE52FF" w:rsidRPr="00540D08">
        <w:rPr>
          <w:rFonts w:ascii="Times New Roman" w:hAnsi="Times New Roman"/>
          <w:b/>
          <w:sz w:val="24"/>
          <w:szCs w:val="24"/>
        </w:rPr>
        <w:t>Introduction</w:t>
      </w:r>
    </w:p>
    <w:p w14:paraId="1A29E755" w14:textId="77777777" w:rsidR="009B0895" w:rsidRPr="00540D08" w:rsidRDefault="009B0895" w:rsidP="009B0895"/>
    <w:p w14:paraId="549C6BFD" w14:textId="0EAF18AC" w:rsidR="00B30E38" w:rsidRPr="00540D08" w:rsidRDefault="00B37944" w:rsidP="0088782E">
      <w:pPr>
        <w:ind w:left="360" w:firstLine="720"/>
        <w:jc w:val="both"/>
      </w:pPr>
      <w:r w:rsidRPr="00540D08">
        <w:t xml:space="preserve">The Province of </w:t>
      </w:r>
      <w:r w:rsidR="00CE52FF" w:rsidRPr="00540D08">
        <w:t>La Union</w:t>
      </w:r>
      <w:r w:rsidR="00C100A8" w:rsidRPr="00540D08">
        <w:t xml:space="preserve"> was</w:t>
      </w:r>
      <w:r w:rsidR="00B30E38" w:rsidRPr="00540D08">
        <w:t xml:space="preserve"> created by virtue of “Superior Decreto” issued on March 2, 1850 by Governor-General Antonio Maria Blanco. Today, La Union is classified as a first class, progressive, growth-oriented province comprising </w:t>
      </w:r>
      <w:r w:rsidR="007C63A1" w:rsidRPr="00540D08">
        <w:t>of a lone city and 19</w:t>
      </w:r>
      <w:r w:rsidR="00B30E38" w:rsidRPr="00540D08">
        <w:t xml:space="preserve"> municipalities, with 576 barangays.</w:t>
      </w:r>
    </w:p>
    <w:p w14:paraId="0FE7A706" w14:textId="77777777" w:rsidR="0064459C" w:rsidRPr="00540D08" w:rsidRDefault="0064459C" w:rsidP="00B30E38">
      <w:pPr>
        <w:ind w:left="360" w:firstLine="720"/>
        <w:jc w:val="both"/>
      </w:pPr>
    </w:p>
    <w:p w14:paraId="59C5F2AE" w14:textId="281A33E2" w:rsidR="00B37944" w:rsidRPr="00540D08" w:rsidRDefault="00B37944" w:rsidP="00B37944">
      <w:pPr>
        <w:ind w:left="360" w:firstLine="720"/>
        <w:jc w:val="both"/>
      </w:pPr>
      <w:r w:rsidRPr="00540D08">
        <w:t xml:space="preserve">The Province is under the </w:t>
      </w:r>
      <w:r w:rsidR="00CD62FF" w:rsidRPr="00540D08">
        <w:t>new</w:t>
      </w:r>
      <w:r w:rsidRPr="00540D08">
        <w:t xml:space="preserve"> leadership of Governor </w:t>
      </w:r>
      <w:r w:rsidR="00CD62FF" w:rsidRPr="00540D08">
        <w:t>Raphaelle Veronica “Rafy” Ortega-David</w:t>
      </w:r>
      <w:r w:rsidRPr="00540D08">
        <w:t>. The total personnel complement of the Provincial Government of La Union</w:t>
      </w:r>
      <w:r w:rsidR="007B4A82" w:rsidRPr="00540D08">
        <w:t xml:space="preserve"> (PGLU)</w:t>
      </w:r>
      <w:r w:rsidRPr="00540D08">
        <w:t xml:space="preserve"> as at December 31, 202</w:t>
      </w:r>
      <w:r w:rsidR="00540D08" w:rsidRPr="00540D08">
        <w:t>3</w:t>
      </w:r>
      <w:r w:rsidRPr="00540D08">
        <w:t xml:space="preserve"> is 1,9</w:t>
      </w:r>
      <w:r w:rsidR="00540D08" w:rsidRPr="00540D08">
        <w:t>17</w:t>
      </w:r>
      <w:r w:rsidRPr="00540D08">
        <w:t xml:space="preserve"> consisting of: elected officials–15; permanent–1,0</w:t>
      </w:r>
      <w:r w:rsidR="00540D08" w:rsidRPr="00540D08">
        <w:t>50</w:t>
      </w:r>
      <w:r w:rsidRPr="00540D08">
        <w:t>; temporary/co-terminus–</w:t>
      </w:r>
      <w:r w:rsidR="006F7976" w:rsidRPr="00540D08">
        <w:t>7</w:t>
      </w:r>
      <w:r w:rsidR="00540D08" w:rsidRPr="00540D08">
        <w:t>2</w:t>
      </w:r>
      <w:r w:rsidRPr="00540D08">
        <w:t>; casual/contractual/job order–</w:t>
      </w:r>
      <w:r w:rsidR="00540D08" w:rsidRPr="00540D08">
        <w:t>772</w:t>
      </w:r>
      <w:r w:rsidRPr="00540D08">
        <w:t>; consultants–</w:t>
      </w:r>
      <w:r w:rsidR="00540D08" w:rsidRPr="00540D08">
        <w:t>8</w:t>
      </w:r>
      <w:r w:rsidRPr="00540D08">
        <w:t>.</w:t>
      </w:r>
    </w:p>
    <w:p w14:paraId="60651248" w14:textId="19FBD913" w:rsidR="00B37944" w:rsidRPr="00540D08" w:rsidRDefault="00B37944" w:rsidP="00EA5804">
      <w:pPr>
        <w:ind w:left="284" w:firstLine="720"/>
        <w:jc w:val="both"/>
      </w:pPr>
    </w:p>
    <w:p w14:paraId="10C8A965" w14:textId="7F03F184" w:rsidR="00B14FC9" w:rsidRPr="00540D08" w:rsidRDefault="00B37944" w:rsidP="00B37944">
      <w:pPr>
        <w:ind w:left="360" w:firstLine="720"/>
        <w:jc w:val="both"/>
      </w:pPr>
      <w:r w:rsidRPr="00540D08">
        <w:t>Audit procedures conducted included internal control review; examination of documents/records/reports; analysis, confirmation and inspection of selected accounts, transactions, programs and projects. The procedures selected depended on the auditor’s judgment, including assessment of the risks of material misstatements of the financial statements; whether due to fraud or error in making those risk assessments, we limited internal control testing to those controls over financial reporting and compliance issued which we considered based on our professional judgment.</w:t>
      </w:r>
    </w:p>
    <w:p w14:paraId="55554D10" w14:textId="447A3F3F" w:rsidR="00B37944" w:rsidRPr="00540D08" w:rsidRDefault="00B37944" w:rsidP="00B37944">
      <w:pPr>
        <w:ind w:left="360" w:firstLine="720"/>
        <w:jc w:val="both"/>
      </w:pPr>
    </w:p>
    <w:p w14:paraId="20D924F6" w14:textId="49C92987" w:rsidR="00B37944" w:rsidRPr="00540D08" w:rsidRDefault="00B37944" w:rsidP="00B37944">
      <w:pPr>
        <w:ind w:left="360" w:firstLine="720"/>
        <w:jc w:val="both"/>
      </w:pPr>
      <w:r w:rsidRPr="00540D08">
        <w:t xml:space="preserve">The audit covered the financial transactions and operations of the </w:t>
      </w:r>
      <w:r w:rsidR="007B4A82" w:rsidRPr="00540D08">
        <w:t>PGLU from January 1 to December 31, 202</w:t>
      </w:r>
      <w:r w:rsidR="00540D08" w:rsidRPr="00540D08">
        <w:t>3</w:t>
      </w:r>
      <w:r w:rsidR="007B4A82" w:rsidRPr="00540D08">
        <w:t>.</w:t>
      </w:r>
    </w:p>
    <w:p w14:paraId="50DB80DE" w14:textId="3C88F477" w:rsidR="001218F7" w:rsidRDefault="001218F7" w:rsidP="0088782E">
      <w:pPr>
        <w:ind w:left="360" w:firstLine="720"/>
        <w:jc w:val="both"/>
      </w:pPr>
    </w:p>
    <w:p w14:paraId="6D17480D" w14:textId="77777777" w:rsidR="00B75C7A" w:rsidRPr="00540D08" w:rsidRDefault="00B75C7A" w:rsidP="0088782E">
      <w:pPr>
        <w:ind w:left="360" w:firstLine="720"/>
        <w:jc w:val="both"/>
      </w:pPr>
    </w:p>
    <w:p w14:paraId="34881978" w14:textId="5D10B96B" w:rsidR="00AF74A2" w:rsidRPr="00540D08" w:rsidRDefault="00CE52FF" w:rsidP="008C3872">
      <w:pPr>
        <w:pStyle w:val="ListParagraph"/>
        <w:numPr>
          <w:ilvl w:val="0"/>
          <w:numId w:val="1"/>
        </w:numPr>
        <w:ind w:left="360"/>
        <w:rPr>
          <w:rFonts w:ascii="Times New Roman" w:hAnsi="Times New Roman"/>
          <w:b/>
          <w:sz w:val="24"/>
          <w:szCs w:val="24"/>
        </w:rPr>
      </w:pPr>
      <w:r w:rsidRPr="00540D08">
        <w:rPr>
          <w:rFonts w:ascii="Times New Roman" w:hAnsi="Times New Roman"/>
          <w:b/>
          <w:sz w:val="24"/>
          <w:szCs w:val="24"/>
        </w:rPr>
        <w:t>Operational Highlights</w:t>
      </w:r>
    </w:p>
    <w:p w14:paraId="0E047E2D" w14:textId="77777777" w:rsidR="00835B9B" w:rsidRPr="00540D08" w:rsidRDefault="00835B9B" w:rsidP="00835B9B">
      <w:pPr>
        <w:pStyle w:val="ListParagraph"/>
        <w:ind w:left="360" w:firstLine="720"/>
        <w:jc w:val="both"/>
        <w:rPr>
          <w:rFonts w:ascii="Times New Roman" w:hAnsi="Times New Roman"/>
          <w:sz w:val="24"/>
          <w:szCs w:val="24"/>
        </w:rPr>
      </w:pPr>
    </w:p>
    <w:p w14:paraId="342E758E" w14:textId="271DB65C" w:rsidR="00835B9B" w:rsidRPr="00540D08" w:rsidRDefault="00701F7B" w:rsidP="007B4A82">
      <w:pPr>
        <w:pStyle w:val="ListParagraph"/>
        <w:ind w:left="360" w:firstLine="720"/>
        <w:jc w:val="both"/>
        <w:rPr>
          <w:rFonts w:ascii="Times New Roman" w:hAnsi="Times New Roman"/>
          <w:sz w:val="24"/>
          <w:szCs w:val="24"/>
        </w:rPr>
      </w:pPr>
      <w:r w:rsidRPr="00540D08">
        <w:rPr>
          <w:rFonts w:ascii="Times New Roman" w:hAnsi="Times New Roman"/>
          <w:sz w:val="24"/>
          <w:szCs w:val="24"/>
        </w:rPr>
        <w:t>The f</w:t>
      </w:r>
      <w:r w:rsidR="00CE52FF" w:rsidRPr="00540D08">
        <w:rPr>
          <w:rFonts w:ascii="Times New Roman" w:hAnsi="Times New Roman"/>
          <w:sz w:val="24"/>
          <w:szCs w:val="24"/>
        </w:rPr>
        <w:t xml:space="preserve">ollowing are the major programs, </w:t>
      </w:r>
      <w:r w:rsidRPr="00540D08">
        <w:rPr>
          <w:rFonts w:ascii="Times New Roman" w:hAnsi="Times New Roman"/>
          <w:sz w:val="24"/>
          <w:szCs w:val="24"/>
        </w:rPr>
        <w:t>projects</w:t>
      </w:r>
      <w:r w:rsidR="00CE52FF" w:rsidRPr="00540D08">
        <w:rPr>
          <w:rFonts w:ascii="Times New Roman" w:hAnsi="Times New Roman"/>
          <w:sz w:val="24"/>
          <w:szCs w:val="24"/>
        </w:rPr>
        <w:t xml:space="preserve"> and activities</w:t>
      </w:r>
      <w:r w:rsidR="00061CD4">
        <w:rPr>
          <w:rFonts w:ascii="Times New Roman" w:hAnsi="Times New Roman"/>
          <w:sz w:val="24"/>
          <w:szCs w:val="24"/>
        </w:rPr>
        <w:t xml:space="preserve"> (PPAs)</w:t>
      </w:r>
      <w:r w:rsidR="00CE52FF" w:rsidRPr="00540D08">
        <w:rPr>
          <w:rFonts w:ascii="Times New Roman" w:hAnsi="Times New Roman"/>
          <w:sz w:val="24"/>
          <w:szCs w:val="24"/>
        </w:rPr>
        <w:t xml:space="preserve"> </w:t>
      </w:r>
      <w:r w:rsidRPr="00540D08">
        <w:rPr>
          <w:rFonts w:ascii="Times New Roman" w:hAnsi="Times New Roman"/>
          <w:sz w:val="24"/>
          <w:szCs w:val="24"/>
        </w:rPr>
        <w:t xml:space="preserve">of the </w:t>
      </w:r>
      <w:r w:rsidR="00CE52FF" w:rsidRPr="00540D08">
        <w:rPr>
          <w:rFonts w:ascii="Times New Roman" w:hAnsi="Times New Roman"/>
          <w:sz w:val="24"/>
          <w:szCs w:val="24"/>
        </w:rPr>
        <w:t>PGLU</w:t>
      </w:r>
      <w:r w:rsidRPr="00540D08">
        <w:rPr>
          <w:rFonts w:ascii="Times New Roman" w:hAnsi="Times New Roman"/>
          <w:sz w:val="24"/>
          <w:szCs w:val="24"/>
        </w:rPr>
        <w:t xml:space="preserve"> and the </w:t>
      </w:r>
      <w:r w:rsidR="008A7F4E">
        <w:rPr>
          <w:rFonts w:ascii="Times New Roman" w:hAnsi="Times New Roman"/>
          <w:sz w:val="24"/>
          <w:szCs w:val="24"/>
        </w:rPr>
        <w:t>amounts</w:t>
      </w:r>
      <w:r w:rsidRPr="00540D08">
        <w:rPr>
          <w:rFonts w:ascii="Times New Roman" w:hAnsi="Times New Roman"/>
          <w:sz w:val="24"/>
          <w:szCs w:val="24"/>
        </w:rPr>
        <w:t xml:space="preserve"> </w:t>
      </w:r>
      <w:r w:rsidR="00905B1C" w:rsidRPr="00540D08">
        <w:rPr>
          <w:rFonts w:ascii="Times New Roman" w:hAnsi="Times New Roman"/>
          <w:sz w:val="24"/>
          <w:szCs w:val="24"/>
        </w:rPr>
        <w:t>for C</w:t>
      </w:r>
      <w:r w:rsidR="00AB5FED" w:rsidRPr="00540D08">
        <w:rPr>
          <w:rFonts w:ascii="Times New Roman" w:hAnsi="Times New Roman"/>
          <w:sz w:val="24"/>
          <w:szCs w:val="24"/>
        </w:rPr>
        <w:t xml:space="preserve">alendar </w:t>
      </w:r>
      <w:r w:rsidR="00905B1C" w:rsidRPr="00540D08">
        <w:rPr>
          <w:rFonts w:ascii="Times New Roman" w:hAnsi="Times New Roman"/>
          <w:sz w:val="24"/>
          <w:szCs w:val="24"/>
        </w:rPr>
        <w:t>Y</w:t>
      </w:r>
      <w:r w:rsidR="00AB5FED" w:rsidRPr="00540D08">
        <w:rPr>
          <w:rFonts w:ascii="Times New Roman" w:hAnsi="Times New Roman"/>
          <w:sz w:val="24"/>
          <w:szCs w:val="24"/>
        </w:rPr>
        <w:t>ear</w:t>
      </w:r>
      <w:r w:rsidR="00AD4506" w:rsidRPr="00540D08">
        <w:rPr>
          <w:rFonts w:ascii="Times New Roman" w:hAnsi="Times New Roman"/>
          <w:sz w:val="24"/>
          <w:szCs w:val="24"/>
        </w:rPr>
        <w:t xml:space="preserve"> (CY)</w:t>
      </w:r>
      <w:r w:rsidR="00905B1C" w:rsidRPr="00540D08">
        <w:rPr>
          <w:rFonts w:ascii="Times New Roman" w:hAnsi="Times New Roman"/>
          <w:sz w:val="24"/>
          <w:szCs w:val="24"/>
        </w:rPr>
        <w:t xml:space="preserve"> 202</w:t>
      </w:r>
      <w:r w:rsidR="00540D08">
        <w:rPr>
          <w:rFonts w:ascii="Times New Roman" w:hAnsi="Times New Roman"/>
          <w:sz w:val="24"/>
          <w:szCs w:val="24"/>
        </w:rPr>
        <w:t>3</w:t>
      </w:r>
      <w:r w:rsidRPr="00540D08">
        <w:rPr>
          <w:rFonts w:ascii="Times New Roman" w:hAnsi="Times New Roman"/>
          <w:sz w:val="24"/>
          <w:szCs w:val="24"/>
        </w:rPr>
        <w:t>:</w:t>
      </w:r>
    </w:p>
    <w:p w14:paraId="119258A1" w14:textId="365EDE2C" w:rsidR="00701F7B" w:rsidRPr="00540D08" w:rsidRDefault="00701F7B" w:rsidP="00835B9B">
      <w:pPr>
        <w:pStyle w:val="ListParagraph"/>
        <w:ind w:left="360"/>
        <w:rPr>
          <w:rFonts w:ascii="Times New Roman" w:hAnsi="Times New Roman"/>
          <w:sz w:val="24"/>
          <w:szCs w:val="24"/>
          <w:highlight w:val="yellow"/>
        </w:rPr>
      </w:pPr>
    </w:p>
    <w:tbl>
      <w:tblPr>
        <w:tblStyle w:val="TableGrid"/>
        <w:tblW w:w="8222" w:type="dxa"/>
        <w:tblInd w:w="137" w:type="dxa"/>
        <w:tblLayout w:type="fixed"/>
        <w:tblLook w:val="04A0" w:firstRow="1" w:lastRow="0" w:firstColumn="1" w:lastColumn="0" w:noHBand="0" w:noVBand="1"/>
      </w:tblPr>
      <w:tblGrid>
        <w:gridCol w:w="4961"/>
        <w:gridCol w:w="1134"/>
        <w:gridCol w:w="2127"/>
      </w:tblGrid>
      <w:tr w:rsidR="008A7F4E" w:rsidRPr="00540D08" w14:paraId="3D64EF56" w14:textId="77777777" w:rsidTr="008A7F4E">
        <w:trPr>
          <w:tblHeader/>
        </w:trPr>
        <w:tc>
          <w:tcPr>
            <w:tcW w:w="4961" w:type="dxa"/>
          </w:tcPr>
          <w:p w14:paraId="57029E7E" w14:textId="0D84683C" w:rsidR="008A7F4E" w:rsidRPr="00CE0B73" w:rsidRDefault="008A7F4E" w:rsidP="00C623D4">
            <w:pPr>
              <w:pStyle w:val="ListParagraph"/>
              <w:ind w:left="0"/>
              <w:jc w:val="center"/>
              <w:rPr>
                <w:rFonts w:ascii="Times New Roman" w:hAnsi="Times New Roman"/>
                <w:b/>
                <w:sz w:val="20"/>
                <w:szCs w:val="24"/>
              </w:rPr>
            </w:pPr>
            <w:bookmarkStart w:id="0" w:name="_Hlk135062496"/>
            <w:r w:rsidRPr="00CE0B73">
              <w:rPr>
                <w:rFonts w:ascii="Times New Roman" w:hAnsi="Times New Roman"/>
                <w:b/>
                <w:sz w:val="20"/>
                <w:szCs w:val="24"/>
              </w:rPr>
              <w:t>Projects, Programs, Activities</w:t>
            </w:r>
          </w:p>
        </w:tc>
        <w:tc>
          <w:tcPr>
            <w:tcW w:w="1134" w:type="dxa"/>
          </w:tcPr>
          <w:p w14:paraId="4E382929" w14:textId="0B5142F8" w:rsidR="008A7F4E" w:rsidRPr="00CE0B73" w:rsidRDefault="008A7F4E" w:rsidP="00C623D4">
            <w:pPr>
              <w:pStyle w:val="ListParagraph"/>
              <w:ind w:left="0"/>
              <w:jc w:val="center"/>
              <w:rPr>
                <w:rFonts w:ascii="Times New Roman" w:hAnsi="Times New Roman"/>
                <w:b/>
                <w:sz w:val="20"/>
                <w:szCs w:val="24"/>
              </w:rPr>
            </w:pPr>
            <w:r>
              <w:rPr>
                <w:rFonts w:ascii="Times New Roman" w:hAnsi="Times New Roman"/>
                <w:b/>
                <w:sz w:val="20"/>
                <w:szCs w:val="24"/>
              </w:rPr>
              <w:t>Quantity</w:t>
            </w:r>
          </w:p>
        </w:tc>
        <w:tc>
          <w:tcPr>
            <w:tcW w:w="2127" w:type="dxa"/>
          </w:tcPr>
          <w:p w14:paraId="5B8FF989" w14:textId="74891EA0" w:rsidR="008A7F4E" w:rsidRPr="00CE0B73" w:rsidRDefault="008A7F4E" w:rsidP="00C623D4">
            <w:pPr>
              <w:pStyle w:val="ListParagraph"/>
              <w:ind w:left="0"/>
              <w:jc w:val="center"/>
              <w:rPr>
                <w:rFonts w:ascii="Times New Roman" w:hAnsi="Times New Roman"/>
                <w:b/>
                <w:sz w:val="20"/>
                <w:szCs w:val="24"/>
              </w:rPr>
            </w:pPr>
            <w:r>
              <w:rPr>
                <w:rFonts w:ascii="Times New Roman" w:hAnsi="Times New Roman"/>
                <w:b/>
                <w:sz w:val="20"/>
                <w:szCs w:val="24"/>
              </w:rPr>
              <w:t>Amount (₱)</w:t>
            </w:r>
          </w:p>
        </w:tc>
      </w:tr>
      <w:tr w:rsidR="008A7F4E" w:rsidRPr="00540D08" w14:paraId="528F925D" w14:textId="77777777" w:rsidTr="008A7F4E">
        <w:tc>
          <w:tcPr>
            <w:tcW w:w="4961" w:type="dxa"/>
          </w:tcPr>
          <w:p w14:paraId="35990BE2" w14:textId="77777777" w:rsidR="008A7F4E" w:rsidRPr="00CE0B73" w:rsidRDefault="008A7F4E" w:rsidP="00C623D4">
            <w:pPr>
              <w:pStyle w:val="ListParagraph"/>
              <w:ind w:left="0"/>
              <w:rPr>
                <w:rFonts w:ascii="Times New Roman" w:hAnsi="Times New Roman"/>
                <w:b/>
                <w:i/>
                <w:sz w:val="20"/>
                <w:szCs w:val="24"/>
              </w:rPr>
            </w:pPr>
            <w:r w:rsidRPr="00CE0B73">
              <w:rPr>
                <w:rFonts w:ascii="Times New Roman" w:hAnsi="Times New Roman"/>
                <w:b/>
                <w:i/>
                <w:sz w:val="20"/>
                <w:szCs w:val="24"/>
              </w:rPr>
              <w:t xml:space="preserve">Infrastructure Development </w:t>
            </w:r>
          </w:p>
        </w:tc>
        <w:tc>
          <w:tcPr>
            <w:tcW w:w="1134" w:type="dxa"/>
          </w:tcPr>
          <w:p w14:paraId="3031DD85" w14:textId="77777777" w:rsidR="008A7F4E" w:rsidRPr="00CE0B73" w:rsidRDefault="008A7F4E" w:rsidP="00C623D4">
            <w:pPr>
              <w:pStyle w:val="ListParagraph"/>
              <w:ind w:left="0"/>
              <w:rPr>
                <w:rFonts w:ascii="Times New Roman" w:hAnsi="Times New Roman"/>
                <w:b/>
                <w:i/>
                <w:sz w:val="20"/>
                <w:szCs w:val="24"/>
              </w:rPr>
            </w:pPr>
          </w:p>
        </w:tc>
        <w:tc>
          <w:tcPr>
            <w:tcW w:w="2127" w:type="dxa"/>
          </w:tcPr>
          <w:p w14:paraId="0B1227DA" w14:textId="264163A9" w:rsidR="008A7F4E" w:rsidRPr="00CE0B73" w:rsidRDefault="008A7F4E" w:rsidP="00C623D4">
            <w:pPr>
              <w:pStyle w:val="ListParagraph"/>
              <w:ind w:left="0"/>
              <w:rPr>
                <w:rFonts w:ascii="Times New Roman" w:hAnsi="Times New Roman"/>
                <w:b/>
                <w:i/>
                <w:sz w:val="20"/>
                <w:szCs w:val="24"/>
              </w:rPr>
            </w:pPr>
          </w:p>
        </w:tc>
      </w:tr>
      <w:tr w:rsidR="008A7F4E" w:rsidRPr="00540D08" w14:paraId="77776F25" w14:textId="77777777" w:rsidTr="008A7F4E">
        <w:tc>
          <w:tcPr>
            <w:tcW w:w="4961" w:type="dxa"/>
          </w:tcPr>
          <w:p w14:paraId="58F20F9D" w14:textId="77777777" w:rsidR="008A7F4E" w:rsidRPr="00CE0B73" w:rsidRDefault="008A7F4E" w:rsidP="00C623D4">
            <w:pPr>
              <w:pStyle w:val="ListParagraph"/>
              <w:ind w:left="0"/>
              <w:rPr>
                <w:rFonts w:ascii="Times New Roman" w:hAnsi="Times New Roman"/>
                <w:b/>
                <w:i/>
                <w:sz w:val="20"/>
                <w:szCs w:val="24"/>
              </w:rPr>
            </w:pPr>
            <w:r w:rsidRPr="00CE0B73">
              <w:rPr>
                <w:rFonts w:ascii="Times New Roman" w:hAnsi="Times New Roman"/>
                <w:b/>
                <w:i/>
                <w:sz w:val="20"/>
                <w:szCs w:val="24"/>
              </w:rPr>
              <w:t>Agriculture Sector</w:t>
            </w:r>
          </w:p>
        </w:tc>
        <w:tc>
          <w:tcPr>
            <w:tcW w:w="1134" w:type="dxa"/>
          </w:tcPr>
          <w:p w14:paraId="1B051BB2" w14:textId="77777777" w:rsidR="008A7F4E" w:rsidRPr="00CE0B73" w:rsidRDefault="008A7F4E" w:rsidP="00C623D4">
            <w:pPr>
              <w:pStyle w:val="ListParagraph"/>
              <w:ind w:left="0"/>
              <w:rPr>
                <w:rFonts w:ascii="Times New Roman" w:hAnsi="Times New Roman"/>
                <w:b/>
                <w:i/>
                <w:sz w:val="20"/>
                <w:szCs w:val="24"/>
              </w:rPr>
            </w:pPr>
          </w:p>
        </w:tc>
        <w:tc>
          <w:tcPr>
            <w:tcW w:w="2127" w:type="dxa"/>
          </w:tcPr>
          <w:p w14:paraId="3BB3B018" w14:textId="48D971DD" w:rsidR="008A7F4E" w:rsidRPr="00CE0B73" w:rsidRDefault="008A7F4E" w:rsidP="00C623D4">
            <w:pPr>
              <w:pStyle w:val="ListParagraph"/>
              <w:ind w:left="0"/>
              <w:rPr>
                <w:rFonts w:ascii="Times New Roman" w:hAnsi="Times New Roman"/>
                <w:b/>
                <w:i/>
                <w:sz w:val="20"/>
                <w:szCs w:val="24"/>
              </w:rPr>
            </w:pPr>
          </w:p>
        </w:tc>
      </w:tr>
      <w:tr w:rsidR="008A7F4E" w:rsidRPr="00540D08" w14:paraId="42970A63" w14:textId="77777777" w:rsidTr="008A7F4E">
        <w:tc>
          <w:tcPr>
            <w:tcW w:w="4961" w:type="dxa"/>
          </w:tcPr>
          <w:p w14:paraId="68EECE27" w14:textId="3927D825" w:rsidR="008A7F4E" w:rsidRPr="00CE0B73" w:rsidRDefault="008A7F4E" w:rsidP="00C623D4">
            <w:pPr>
              <w:rPr>
                <w:sz w:val="20"/>
              </w:rPr>
            </w:pPr>
            <w:r w:rsidRPr="00CE0B73">
              <w:rPr>
                <w:sz w:val="20"/>
              </w:rPr>
              <w:t>Construction/Rehabilitation/Improvement/Upgrade of Farm to Market Roads</w:t>
            </w:r>
          </w:p>
        </w:tc>
        <w:tc>
          <w:tcPr>
            <w:tcW w:w="1134" w:type="dxa"/>
          </w:tcPr>
          <w:p w14:paraId="1DE1A37C" w14:textId="773D68C0" w:rsidR="008A7F4E" w:rsidRPr="00CE0B73" w:rsidRDefault="008A7F4E" w:rsidP="00C623D4">
            <w:pPr>
              <w:pStyle w:val="ListParagraph"/>
              <w:ind w:left="0"/>
              <w:jc w:val="center"/>
              <w:rPr>
                <w:rFonts w:ascii="Times New Roman" w:hAnsi="Times New Roman"/>
                <w:sz w:val="20"/>
                <w:szCs w:val="24"/>
              </w:rPr>
            </w:pPr>
            <w:r w:rsidRPr="00CE0B73">
              <w:rPr>
                <w:rFonts w:ascii="Times New Roman" w:hAnsi="Times New Roman"/>
                <w:sz w:val="20"/>
                <w:szCs w:val="24"/>
              </w:rPr>
              <w:t>48 projects</w:t>
            </w:r>
          </w:p>
        </w:tc>
        <w:tc>
          <w:tcPr>
            <w:tcW w:w="2127" w:type="dxa"/>
          </w:tcPr>
          <w:p w14:paraId="74497EEC" w14:textId="0F82491D" w:rsidR="008A7F4E" w:rsidRPr="00CE0B73" w:rsidRDefault="008A7F4E" w:rsidP="008A7F4E">
            <w:pPr>
              <w:jc w:val="right"/>
              <w:rPr>
                <w:sz w:val="20"/>
              </w:rPr>
            </w:pPr>
            <w:r>
              <w:rPr>
                <w:sz w:val="20"/>
              </w:rPr>
              <w:t>179,445,387.01</w:t>
            </w:r>
          </w:p>
        </w:tc>
      </w:tr>
      <w:tr w:rsidR="008A7F4E" w:rsidRPr="00540D08" w14:paraId="7BD709D5" w14:textId="77777777" w:rsidTr="008A7F4E">
        <w:tc>
          <w:tcPr>
            <w:tcW w:w="4961" w:type="dxa"/>
          </w:tcPr>
          <w:p w14:paraId="37764C1C" w14:textId="36949C94" w:rsidR="008A7F4E" w:rsidRPr="00CE0B73" w:rsidRDefault="008A7F4E" w:rsidP="00C623D4">
            <w:pPr>
              <w:rPr>
                <w:sz w:val="20"/>
              </w:rPr>
            </w:pPr>
            <w:r w:rsidRPr="00CE0B73">
              <w:rPr>
                <w:sz w:val="20"/>
              </w:rPr>
              <w:t>Construction/Rehabilitation of Farmers Multi-Purpose Centers/Buildings</w:t>
            </w:r>
          </w:p>
        </w:tc>
        <w:tc>
          <w:tcPr>
            <w:tcW w:w="1134" w:type="dxa"/>
          </w:tcPr>
          <w:p w14:paraId="0DEA6DEE" w14:textId="26EFC78A" w:rsidR="008A7F4E" w:rsidRPr="00CE0B73" w:rsidRDefault="008A7F4E" w:rsidP="00C623D4">
            <w:pPr>
              <w:pStyle w:val="ListParagraph"/>
              <w:ind w:left="0"/>
              <w:jc w:val="center"/>
              <w:rPr>
                <w:rFonts w:ascii="Times New Roman" w:hAnsi="Times New Roman"/>
                <w:sz w:val="20"/>
                <w:szCs w:val="24"/>
              </w:rPr>
            </w:pPr>
            <w:r w:rsidRPr="00CE0B73">
              <w:rPr>
                <w:rFonts w:ascii="Times New Roman" w:hAnsi="Times New Roman"/>
                <w:sz w:val="20"/>
                <w:szCs w:val="24"/>
              </w:rPr>
              <w:t>19 projects</w:t>
            </w:r>
          </w:p>
        </w:tc>
        <w:tc>
          <w:tcPr>
            <w:tcW w:w="2127" w:type="dxa"/>
          </w:tcPr>
          <w:p w14:paraId="7587F536" w14:textId="5E5886E8" w:rsidR="008A7F4E" w:rsidRPr="00CE0B73" w:rsidRDefault="008A7F4E" w:rsidP="00A758C6">
            <w:pPr>
              <w:jc w:val="right"/>
              <w:rPr>
                <w:sz w:val="20"/>
              </w:rPr>
            </w:pPr>
            <w:r>
              <w:rPr>
                <w:sz w:val="20"/>
              </w:rPr>
              <w:t>115,167,597.54</w:t>
            </w:r>
          </w:p>
        </w:tc>
      </w:tr>
      <w:tr w:rsidR="008A7F4E" w:rsidRPr="00540D08" w14:paraId="13138FE2" w14:textId="77777777" w:rsidTr="008A7F4E">
        <w:tc>
          <w:tcPr>
            <w:tcW w:w="4961" w:type="dxa"/>
          </w:tcPr>
          <w:p w14:paraId="34B69BF6" w14:textId="77777777" w:rsidR="008A7F4E" w:rsidRPr="00CE0B73" w:rsidRDefault="008A7F4E" w:rsidP="00CE0B73">
            <w:pPr>
              <w:pStyle w:val="ListParagraph"/>
              <w:ind w:left="0"/>
              <w:rPr>
                <w:rFonts w:ascii="Times New Roman" w:hAnsi="Times New Roman"/>
                <w:b/>
                <w:i/>
                <w:sz w:val="20"/>
                <w:szCs w:val="24"/>
              </w:rPr>
            </w:pPr>
            <w:r w:rsidRPr="00CE0B73">
              <w:rPr>
                <w:rFonts w:ascii="Times New Roman" w:hAnsi="Times New Roman"/>
                <w:b/>
                <w:i/>
                <w:sz w:val="20"/>
                <w:szCs w:val="24"/>
              </w:rPr>
              <w:t>Education Sector</w:t>
            </w:r>
          </w:p>
        </w:tc>
        <w:tc>
          <w:tcPr>
            <w:tcW w:w="1134" w:type="dxa"/>
          </w:tcPr>
          <w:p w14:paraId="3719E58C" w14:textId="77777777" w:rsidR="008A7F4E" w:rsidRPr="00CE0B73" w:rsidRDefault="008A7F4E" w:rsidP="00CE0B73">
            <w:pPr>
              <w:pStyle w:val="ListParagraph"/>
              <w:ind w:left="0"/>
              <w:rPr>
                <w:rFonts w:ascii="Times New Roman" w:hAnsi="Times New Roman"/>
                <w:b/>
                <w:i/>
                <w:sz w:val="20"/>
                <w:szCs w:val="24"/>
              </w:rPr>
            </w:pPr>
          </w:p>
        </w:tc>
        <w:tc>
          <w:tcPr>
            <w:tcW w:w="2127" w:type="dxa"/>
          </w:tcPr>
          <w:p w14:paraId="604D5DC7" w14:textId="5590F292" w:rsidR="008A7F4E" w:rsidRPr="00A758C6" w:rsidRDefault="008A7F4E" w:rsidP="00A758C6">
            <w:pPr>
              <w:jc w:val="right"/>
              <w:rPr>
                <w:sz w:val="20"/>
              </w:rPr>
            </w:pPr>
          </w:p>
        </w:tc>
      </w:tr>
      <w:tr w:rsidR="008A7F4E" w:rsidRPr="00540D08" w14:paraId="34E28F36" w14:textId="77777777" w:rsidTr="008A7F4E">
        <w:tc>
          <w:tcPr>
            <w:tcW w:w="4961" w:type="dxa"/>
            <w:shd w:val="clear" w:color="auto" w:fill="auto"/>
          </w:tcPr>
          <w:p w14:paraId="037CF7FB" w14:textId="4825ADD7" w:rsidR="008A7F4E" w:rsidRPr="00CE0B73" w:rsidRDefault="008A7F4E" w:rsidP="00CE0B73">
            <w:pPr>
              <w:rPr>
                <w:sz w:val="20"/>
              </w:rPr>
            </w:pPr>
            <w:r w:rsidRPr="00CE0B73">
              <w:rPr>
                <w:sz w:val="20"/>
              </w:rPr>
              <w:t>Construction/Repair of Schools/Classrooms and Facilities</w:t>
            </w:r>
          </w:p>
        </w:tc>
        <w:tc>
          <w:tcPr>
            <w:tcW w:w="1134" w:type="dxa"/>
            <w:shd w:val="clear" w:color="auto" w:fill="auto"/>
          </w:tcPr>
          <w:p w14:paraId="3EE5829E" w14:textId="33F7541B" w:rsidR="008A7F4E" w:rsidRPr="00CE0B73" w:rsidRDefault="008A7F4E" w:rsidP="00C623D4">
            <w:pPr>
              <w:pStyle w:val="ListParagraph"/>
              <w:ind w:left="0"/>
              <w:jc w:val="center"/>
              <w:rPr>
                <w:rFonts w:ascii="Times New Roman" w:hAnsi="Times New Roman"/>
                <w:sz w:val="20"/>
                <w:szCs w:val="24"/>
              </w:rPr>
            </w:pPr>
            <w:r w:rsidRPr="00CE0B73">
              <w:rPr>
                <w:rFonts w:ascii="Times New Roman" w:hAnsi="Times New Roman"/>
                <w:sz w:val="20"/>
                <w:szCs w:val="24"/>
              </w:rPr>
              <w:t>18 projects</w:t>
            </w:r>
          </w:p>
        </w:tc>
        <w:tc>
          <w:tcPr>
            <w:tcW w:w="2127" w:type="dxa"/>
            <w:shd w:val="clear" w:color="auto" w:fill="auto"/>
          </w:tcPr>
          <w:p w14:paraId="05D0C357" w14:textId="1169EBAD" w:rsidR="008A7F4E" w:rsidRPr="00CE0B73" w:rsidRDefault="008A7F4E" w:rsidP="00A758C6">
            <w:pPr>
              <w:jc w:val="right"/>
              <w:rPr>
                <w:sz w:val="20"/>
              </w:rPr>
            </w:pPr>
            <w:r>
              <w:rPr>
                <w:sz w:val="20"/>
              </w:rPr>
              <w:t>35,870,235.69</w:t>
            </w:r>
          </w:p>
        </w:tc>
      </w:tr>
      <w:tr w:rsidR="008A7F4E" w:rsidRPr="00540D08" w14:paraId="512D7B87" w14:textId="77777777" w:rsidTr="008A7F4E">
        <w:tc>
          <w:tcPr>
            <w:tcW w:w="4961" w:type="dxa"/>
            <w:shd w:val="clear" w:color="auto" w:fill="auto"/>
          </w:tcPr>
          <w:p w14:paraId="729CE3B4" w14:textId="7CC2B992" w:rsidR="008A7F4E" w:rsidRPr="00CE0B73" w:rsidRDefault="008A7F4E" w:rsidP="00063BF5">
            <w:pPr>
              <w:rPr>
                <w:sz w:val="20"/>
              </w:rPr>
            </w:pPr>
            <w:r w:rsidRPr="00CE0B73">
              <w:rPr>
                <w:sz w:val="20"/>
              </w:rPr>
              <w:t>Construction/Repair of Schools Covered Court</w:t>
            </w:r>
          </w:p>
        </w:tc>
        <w:tc>
          <w:tcPr>
            <w:tcW w:w="1134" w:type="dxa"/>
            <w:shd w:val="clear" w:color="auto" w:fill="auto"/>
          </w:tcPr>
          <w:p w14:paraId="15392AD5" w14:textId="6360B1AE" w:rsidR="008A7F4E" w:rsidRPr="00CE0B73" w:rsidRDefault="008A7F4E" w:rsidP="00063BF5">
            <w:pPr>
              <w:pStyle w:val="ListParagraph"/>
              <w:ind w:left="0"/>
              <w:jc w:val="center"/>
              <w:rPr>
                <w:rFonts w:ascii="Times New Roman" w:hAnsi="Times New Roman"/>
                <w:sz w:val="20"/>
                <w:szCs w:val="24"/>
              </w:rPr>
            </w:pPr>
            <w:r w:rsidRPr="00CE0B73">
              <w:rPr>
                <w:rFonts w:ascii="Times New Roman" w:hAnsi="Times New Roman"/>
                <w:sz w:val="20"/>
                <w:szCs w:val="24"/>
              </w:rPr>
              <w:t>8 projects</w:t>
            </w:r>
          </w:p>
        </w:tc>
        <w:tc>
          <w:tcPr>
            <w:tcW w:w="2127" w:type="dxa"/>
            <w:shd w:val="clear" w:color="auto" w:fill="auto"/>
          </w:tcPr>
          <w:p w14:paraId="4D2CF7DB" w14:textId="5759CBD2" w:rsidR="008A7F4E" w:rsidRPr="00CE0B73" w:rsidRDefault="008A7F4E" w:rsidP="00A758C6">
            <w:pPr>
              <w:jc w:val="right"/>
              <w:rPr>
                <w:sz w:val="20"/>
              </w:rPr>
            </w:pPr>
            <w:r>
              <w:rPr>
                <w:sz w:val="20"/>
              </w:rPr>
              <w:t>36,803184.30</w:t>
            </w:r>
          </w:p>
        </w:tc>
      </w:tr>
      <w:tr w:rsidR="008A7F4E" w:rsidRPr="00540D08" w14:paraId="137206CF" w14:textId="77777777" w:rsidTr="008A7F4E">
        <w:tc>
          <w:tcPr>
            <w:tcW w:w="4961" w:type="dxa"/>
            <w:shd w:val="clear" w:color="auto" w:fill="auto"/>
          </w:tcPr>
          <w:p w14:paraId="6E107C0F" w14:textId="77777777" w:rsidR="008A7F4E" w:rsidRPr="00CE0B73" w:rsidRDefault="008A7F4E" w:rsidP="00CE0B73">
            <w:pPr>
              <w:rPr>
                <w:sz w:val="20"/>
              </w:rPr>
            </w:pPr>
            <w:r>
              <w:rPr>
                <w:b/>
                <w:i/>
                <w:sz w:val="20"/>
              </w:rPr>
              <w:t>Health</w:t>
            </w:r>
            <w:r w:rsidRPr="00CE0B73">
              <w:rPr>
                <w:b/>
                <w:i/>
                <w:sz w:val="20"/>
              </w:rPr>
              <w:t xml:space="preserve"> Sector</w:t>
            </w:r>
          </w:p>
        </w:tc>
        <w:tc>
          <w:tcPr>
            <w:tcW w:w="1134" w:type="dxa"/>
            <w:shd w:val="clear" w:color="auto" w:fill="auto"/>
          </w:tcPr>
          <w:p w14:paraId="4C0E8848" w14:textId="77777777" w:rsidR="008A7F4E" w:rsidRPr="00CE0B73" w:rsidRDefault="008A7F4E" w:rsidP="00CE0B73">
            <w:pPr>
              <w:rPr>
                <w:sz w:val="20"/>
              </w:rPr>
            </w:pPr>
          </w:p>
        </w:tc>
        <w:tc>
          <w:tcPr>
            <w:tcW w:w="2127" w:type="dxa"/>
            <w:shd w:val="clear" w:color="auto" w:fill="auto"/>
          </w:tcPr>
          <w:p w14:paraId="264DD85C" w14:textId="1F03C104" w:rsidR="008A7F4E" w:rsidRPr="00CE0B73" w:rsidRDefault="008A7F4E" w:rsidP="00A758C6">
            <w:pPr>
              <w:jc w:val="right"/>
              <w:rPr>
                <w:sz w:val="20"/>
              </w:rPr>
            </w:pPr>
          </w:p>
        </w:tc>
      </w:tr>
      <w:tr w:rsidR="008A7F4E" w:rsidRPr="00540D08" w14:paraId="228FE120" w14:textId="77777777" w:rsidTr="008A7F4E">
        <w:tc>
          <w:tcPr>
            <w:tcW w:w="4961" w:type="dxa"/>
            <w:shd w:val="clear" w:color="auto" w:fill="auto"/>
          </w:tcPr>
          <w:p w14:paraId="7F810CB8" w14:textId="2E2DBEF2" w:rsidR="008A7F4E" w:rsidRPr="00CE0B73" w:rsidRDefault="008A7F4E" w:rsidP="00063BF5">
            <w:pPr>
              <w:rPr>
                <w:sz w:val="20"/>
              </w:rPr>
            </w:pPr>
            <w:r>
              <w:rPr>
                <w:sz w:val="20"/>
              </w:rPr>
              <w:t xml:space="preserve">Construction/Rehabilitation of Hospital Buildings, Facilities, Barangay Health Stations with Birthing Facility </w:t>
            </w:r>
          </w:p>
        </w:tc>
        <w:tc>
          <w:tcPr>
            <w:tcW w:w="1134" w:type="dxa"/>
            <w:shd w:val="clear" w:color="auto" w:fill="auto"/>
          </w:tcPr>
          <w:p w14:paraId="560B82D3" w14:textId="1A94F5AA" w:rsidR="008A7F4E" w:rsidRPr="00CE0B73" w:rsidRDefault="008A7F4E" w:rsidP="00063BF5">
            <w:pPr>
              <w:pStyle w:val="ListParagraph"/>
              <w:ind w:left="0"/>
              <w:jc w:val="center"/>
              <w:rPr>
                <w:rFonts w:ascii="Times New Roman" w:hAnsi="Times New Roman"/>
                <w:sz w:val="20"/>
                <w:szCs w:val="24"/>
              </w:rPr>
            </w:pPr>
            <w:r>
              <w:rPr>
                <w:rFonts w:ascii="Times New Roman" w:hAnsi="Times New Roman"/>
                <w:sz w:val="20"/>
                <w:szCs w:val="24"/>
              </w:rPr>
              <w:t>9 projects</w:t>
            </w:r>
          </w:p>
        </w:tc>
        <w:tc>
          <w:tcPr>
            <w:tcW w:w="2127" w:type="dxa"/>
            <w:shd w:val="clear" w:color="auto" w:fill="auto"/>
          </w:tcPr>
          <w:p w14:paraId="12A6C2E7" w14:textId="4D7AC2B7" w:rsidR="008A7F4E" w:rsidRPr="00CE0B73" w:rsidRDefault="008A7F4E" w:rsidP="00A758C6">
            <w:pPr>
              <w:jc w:val="right"/>
              <w:rPr>
                <w:sz w:val="20"/>
              </w:rPr>
            </w:pPr>
            <w:r>
              <w:rPr>
                <w:sz w:val="20"/>
              </w:rPr>
              <w:t>34,269,026.41</w:t>
            </w:r>
          </w:p>
        </w:tc>
      </w:tr>
      <w:tr w:rsidR="008A7F4E" w:rsidRPr="00540D08" w14:paraId="00C17D0B" w14:textId="77777777" w:rsidTr="008A7F4E">
        <w:tc>
          <w:tcPr>
            <w:tcW w:w="4961" w:type="dxa"/>
            <w:shd w:val="clear" w:color="auto" w:fill="auto"/>
          </w:tcPr>
          <w:p w14:paraId="2D4D6E2E" w14:textId="77777777" w:rsidR="008A7F4E" w:rsidRPr="008A7F4E" w:rsidRDefault="008A7F4E" w:rsidP="008A7F4E">
            <w:pPr>
              <w:rPr>
                <w:b/>
                <w:i/>
                <w:sz w:val="20"/>
              </w:rPr>
            </w:pPr>
            <w:r w:rsidRPr="008A7F4E">
              <w:rPr>
                <w:b/>
                <w:i/>
                <w:sz w:val="20"/>
              </w:rPr>
              <w:t>Disaster Risk Reduction and Management Sector</w:t>
            </w:r>
          </w:p>
        </w:tc>
        <w:tc>
          <w:tcPr>
            <w:tcW w:w="1134" w:type="dxa"/>
            <w:shd w:val="clear" w:color="auto" w:fill="auto"/>
          </w:tcPr>
          <w:p w14:paraId="2BC8AAD0" w14:textId="77777777" w:rsidR="008A7F4E" w:rsidRPr="008A7F4E" w:rsidRDefault="008A7F4E" w:rsidP="008A7F4E">
            <w:pPr>
              <w:rPr>
                <w:b/>
                <w:i/>
                <w:sz w:val="20"/>
              </w:rPr>
            </w:pPr>
          </w:p>
        </w:tc>
        <w:tc>
          <w:tcPr>
            <w:tcW w:w="2127" w:type="dxa"/>
            <w:shd w:val="clear" w:color="auto" w:fill="auto"/>
          </w:tcPr>
          <w:p w14:paraId="01C1BECD" w14:textId="7BCAC751" w:rsidR="008A7F4E" w:rsidRPr="00A758C6" w:rsidRDefault="008A7F4E" w:rsidP="00A758C6">
            <w:pPr>
              <w:jc w:val="right"/>
              <w:rPr>
                <w:sz w:val="20"/>
              </w:rPr>
            </w:pPr>
          </w:p>
        </w:tc>
      </w:tr>
      <w:tr w:rsidR="008A7F4E" w:rsidRPr="00540D08" w14:paraId="0DF6602D" w14:textId="77777777" w:rsidTr="008A7F4E">
        <w:tc>
          <w:tcPr>
            <w:tcW w:w="4961" w:type="dxa"/>
            <w:shd w:val="clear" w:color="auto" w:fill="auto"/>
          </w:tcPr>
          <w:p w14:paraId="15659EBB" w14:textId="7856D00C" w:rsidR="008A7F4E" w:rsidRDefault="008A7F4E" w:rsidP="00063BF5">
            <w:pPr>
              <w:rPr>
                <w:sz w:val="20"/>
              </w:rPr>
            </w:pPr>
            <w:r>
              <w:rPr>
                <w:sz w:val="20"/>
              </w:rPr>
              <w:t>Construction of Drainage/Flood Control System</w:t>
            </w:r>
          </w:p>
        </w:tc>
        <w:tc>
          <w:tcPr>
            <w:tcW w:w="1134" w:type="dxa"/>
            <w:shd w:val="clear" w:color="auto" w:fill="auto"/>
          </w:tcPr>
          <w:p w14:paraId="3B70526D" w14:textId="3A6264CA" w:rsidR="008A7F4E" w:rsidRDefault="008A7F4E" w:rsidP="00063BF5">
            <w:pPr>
              <w:pStyle w:val="ListParagraph"/>
              <w:ind w:left="0"/>
              <w:jc w:val="center"/>
              <w:rPr>
                <w:rFonts w:ascii="Times New Roman" w:hAnsi="Times New Roman"/>
                <w:sz w:val="20"/>
                <w:szCs w:val="24"/>
              </w:rPr>
            </w:pPr>
            <w:r>
              <w:rPr>
                <w:rFonts w:ascii="Times New Roman" w:hAnsi="Times New Roman"/>
                <w:sz w:val="20"/>
                <w:szCs w:val="24"/>
              </w:rPr>
              <w:t>11 projects</w:t>
            </w:r>
          </w:p>
        </w:tc>
        <w:tc>
          <w:tcPr>
            <w:tcW w:w="2127" w:type="dxa"/>
            <w:shd w:val="clear" w:color="auto" w:fill="auto"/>
          </w:tcPr>
          <w:p w14:paraId="5F16EFB2" w14:textId="27A77886" w:rsidR="008A7F4E" w:rsidRPr="00CE0B73" w:rsidRDefault="008A7F4E" w:rsidP="00A758C6">
            <w:pPr>
              <w:jc w:val="right"/>
              <w:rPr>
                <w:sz w:val="20"/>
              </w:rPr>
            </w:pPr>
            <w:r>
              <w:rPr>
                <w:sz w:val="20"/>
              </w:rPr>
              <w:t>61,246,514.19</w:t>
            </w:r>
          </w:p>
        </w:tc>
      </w:tr>
      <w:tr w:rsidR="008A7F4E" w:rsidRPr="00540D08" w14:paraId="3702848F" w14:textId="77777777" w:rsidTr="008A7F4E">
        <w:tc>
          <w:tcPr>
            <w:tcW w:w="4961" w:type="dxa"/>
            <w:shd w:val="clear" w:color="auto" w:fill="auto"/>
          </w:tcPr>
          <w:p w14:paraId="1D42DC6C" w14:textId="50E94FD4" w:rsidR="008A7F4E" w:rsidRDefault="008A7F4E" w:rsidP="008A7F4E">
            <w:pPr>
              <w:rPr>
                <w:sz w:val="20"/>
              </w:rPr>
            </w:pPr>
            <w:r>
              <w:rPr>
                <w:b/>
                <w:i/>
                <w:sz w:val="20"/>
              </w:rPr>
              <w:t>Other Infrastructure Projects</w:t>
            </w:r>
          </w:p>
        </w:tc>
        <w:tc>
          <w:tcPr>
            <w:tcW w:w="1134" w:type="dxa"/>
            <w:shd w:val="clear" w:color="auto" w:fill="auto"/>
          </w:tcPr>
          <w:p w14:paraId="290ED3A8" w14:textId="77777777" w:rsidR="008A7F4E" w:rsidRDefault="008A7F4E" w:rsidP="008A7F4E">
            <w:pPr>
              <w:pStyle w:val="ListParagraph"/>
              <w:ind w:left="0"/>
              <w:jc w:val="center"/>
              <w:rPr>
                <w:rFonts w:ascii="Times New Roman" w:hAnsi="Times New Roman"/>
                <w:sz w:val="20"/>
                <w:szCs w:val="24"/>
              </w:rPr>
            </w:pPr>
          </w:p>
        </w:tc>
        <w:tc>
          <w:tcPr>
            <w:tcW w:w="2127" w:type="dxa"/>
            <w:shd w:val="clear" w:color="auto" w:fill="auto"/>
          </w:tcPr>
          <w:p w14:paraId="38DAA541" w14:textId="77777777" w:rsidR="008A7F4E" w:rsidRDefault="008A7F4E" w:rsidP="00A758C6">
            <w:pPr>
              <w:jc w:val="right"/>
              <w:rPr>
                <w:sz w:val="20"/>
              </w:rPr>
            </w:pPr>
          </w:p>
        </w:tc>
      </w:tr>
      <w:tr w:rsidR="008A7F4E" w:rsidRPr="00540D08" w14:paraId="66B6DD99" w14:textId="77777777" w:rsidTr="008A7F4E">
        <w:tc>
          <w:tcPr>
            <w:tcW w:w="4961" w:type="dxa"/>
            <w:shd w:val="clear" w:color="auto" w:fill="auto"/>
          </w:tcPr>
          <w:p w14:paraId="74FF7F6D" w14:textId="5AA5130E" w:rsidR="008A7F4E" w:rsidRPr="00A758C6" w:rsidRDefault="00A758C6" w:rsidP="008A7F4E">
            <w:pPr>
              <w:rPr>
                <w:sz w:val="20"/>
              </w:rPr>
            </w:pPr>
            <w:r w:rsidRPr="00A758C6">
              <w:rPr>
                <w:sz w:val="20"/>
              </w:rPr>
              <w:lastRenderedPageBreak/>
              <w:t>Construction/Rehabilitation/Improvement of Provincial Roads</w:t>
            </w:r>
          </w:p>
        </w:tc>
        <w:tc>
          <w:tcPr>
            <w:tcW w:w="1134" w:type="dxa"/>
            <w:shd w:val="clear" w:color="auto" w:fill="auto"/>
          </w:tcPr>
          <w:p w14:paraId="08C8665F" w14:textId="6ECA214B" w:rsidR="008A7F4E" w:rsidRDefault="00A758C6" w:rsidP="008A7F4E">
            <w:pPr>
              <w:pStyle w:val="ListParagraph"/>
              <w:ind w:left="0"/>
              <w:jc w:val="center"/>
              <w:rPr>
                <w:rFonts w:ascii="Times New Roman" w:hAnsi="Times New Roman"/>
                <w:sz w:val="20"/>
                <w:szCs w:val="24"/>
              </w:rPr>
            </w:pPr>
            <w:r>
              <w:rPr>
                <w:rFonts w:ascii="Times New Roman" w:hAnsi="Times New Roman"/>
                <w:sz w:val="20"/>
                <w:szCs w:val="24"/>
              </w:rPr>
              <w:t>18 projects</w:t>
            </w:r>
          </w:p>
        </w:tc>
        <w:tc>
          <w:tcPr>
            <w:tcW w:w="2127" w:type="dxa"/>
            <w:shd w:val="clear" w:color="auto" w:fill="auto"/>
          </w:tcPr>
          <w:p w14:paraId="0B0C020A" w14:textId="1935456B" w:rsidR="008A7F4E" w:rsidRDefault="00A758C6" w:rsidP="00A758C6">
            <w:pPr>
              <w:jc w:val="right"/>
              <w:rPr>
                <w:sz w:val="20"/>
              </w:rPr>
            </w:pPr>
            <w:r>
              <w:rPr>
                <w:sz w:val="20"/>
              </w:rPr>
              <w:t>65,348,303.29</w:t>
            </w:r>
          </w:p>
        </w:tc>
      </w:tr>
      <w:tr w:rsidR="001F55C1" w:rsidRPr="00540D08" w14:paraId="017E6EB4" w14:textId="77777777" w:rsidTr="008A7F4E">
        <w:tc>
          <w:tcPr>
            <w:tcW w:w="4961" w:type="dxa"/>
            <w:shd w:val="clear" w:color="auto" w:fill="auto"/>
          </w:tcPr>
          <w:p w14:paraId="58DF3395" w14:textId="512AA3A5" w:rsidR="001F55C1" w:rsidRPr="00A758C6" w:rsidRDefault="001F55C1" w:rsidP="008A7F4E">
            <w:pPr>
              <w:rPr>
                <w:sz w:val="20"/>
              </w:rPr>
            </w:pPr>
            <w:r w:rsidRPr="00A758C6">
              <w:rPr>
                <w:sz w:val="20"/>
              </w:rPr>
              <w:t xml:space="preserve">Construction/Rehabilitation/Improvement of Provincial </w:t>
            </w:r>
            <w:r>
              <w:rPr>
                <w:sz w:val="20"/>
              </w:rPr>
              <w:t>Bridges</w:t>
            </w:r>
          </w:p>
        </w:tc>
        <w:tc>
          <w:tcPr>
            <w:tcW w:w="1134" w:type="dxa"/>
            <w:shd w:val="clear" w:color="auto" w:fill="auto"/>
          </w:tcPr>
          <w:p w14:paraId="05CAD0FF" w14:textId="57C8D5F4" w:rsidR="001F55C1" w:rsidRDefault="001F55C1" w:rsidP="008A7F4E">
            <w:pPr>
              <w:pStyle w:val="ListParagraph"/>
              <w:ind w:left="0"/>
              <w:jc w:val="center"/>
              <w:rPr>
                <w:rFonts w:ascii="Times New Roman" w:hAnsi="Times New Roman"/>
                <w:sz w:val="20"/>
                <w:szCs w:val="24"/>
              </w:rPr>
            </w:pPr>
            <w:r>
              <w:rPr>
                <w:rFonts w:ascii="Times New Roman" w:hAnsi="Times New Roman"/>
                <w:sz w:val="20"/>
                <w:szCs w:val="24"/>
              </w:rPr>
              <w:t>5 projects</w:t>
            </w:r>
          </w:p>
        </w:tc>
        <w:tc>
          <w:tcPr>
            <w:tcW w:w="2127" w:type="dxa"/>
            <w:shd w:val="clear" w:color="auto" w:fill="auto"/>
          </w:tcPr>
          <w:p w14:paraId="50C06F66" w14:textId="1DB48C38" w:rsidR="001F55C1" w:rsidRDefault="001F55C1" w:rsidP="00A758C6">
            <w:pPr>
              <w:jc w:val="right"/>
              <w:rPr>
                <w:sz w:val="20"/>
              </w:rPr>
            </w:pPr>
            <w:r>
              <w:rPr>
                <w:sz w:val="20"/>
              </w:rPr>
              <w:t>39,632,458.15</w:t>
            </w:r>
          </w:p>
        </w:tc>
      </w:tr>
      <w:bookmarkEnd w:id="0"/>
    </w:tbl>
    <w:p w14:paraId="66A4E770" w14:textId="1B8EBD05" w:rsidR="00124748" w:rsidRDefault="00124748" w:rsidP="007B4A82"/>
    <w:p w14:paraId="4DF61D0A" w14:textId="77777777" w:rsidR="00B75C7A" w:rsidRPr="00B75D75" w:rsidRDefault="00B75C7A" w:rsidP="007B4A82"/>
    <w:p w14:paraId="00BB617C" w14:textId="2FFBF5DA" w:rsidR="009B0895" w:rsidRPr="00B75D75" w:rsidRDefault="00835B9B" w:rsidP="00D11F0F">
      <w:pPr>
        <w:ind w:left="142"/>
        <w:rPr>
          <w:b/>
        </w:rPr>
      </w:pPr>
      <w:r w:rsidRPr="00B75D75">
        <w:rPr>
          <w:b/>
        </w:rPr>
        <w:t xml:space="preserve">C. </w:t>
      </w:r>
      <w:r w:rsidR="00CE52FF" w:rsidRPr="00B75D75">
        <w:rPr>
          <w:b/>
        </w:rPr>
        <w:t>Financial Highlights</w:t>
      </w:r>
    </w:p>
    <w:p w14:paraId="2F97866C" w14:textId="77777777" w:rsidR="009B0895" w:rsidRPr="00B75D75" w:rsidRDefault="009B0895" w:rsidP="009B0895">
      <w:pPr>
        <w:ind w:firstLine="720"/>
      </w:pPr>
    </w:p>
    <w:p w14:paraId="630CB5CD" w14:textId="25DBD545" w:rsidR="00D22AE9" w:rsidRPr="00B75D75" w:rsidRDefault="00D240D2" w:rsidP="00D11F0F">
      <w:pPr>
        <w:ind w:left="426" w:firstLine="708"/>
        <w:jc w:val="both"/>
      </w:pPr>
      <w:r w:rsidRPr="00B75D75">
        <w:t xml:space="preserve">The </w:t>
      </w:r>
      <w:r w:rsidR="006C3FF0" w:rsidRPr="00B75D75">
        <w:t xml:space="preserve">comparative </w:t>
      </w:r>
      <w:r w:rsidRPr="00B75D75">
        <w:t xml:space="preserve">data on the </w:t>
      </w:r>
      <w:r w:rsidR="00046147" w:rsidRPr="00B75D75">
        <w:t>F</w:t>
      </w:r>
      <w:r w:rsidRPr="00B75D75">
        <w:t xml:space="preserve">inancial </w:t>
      </w:r>
      <w:r w:rsidR="00046147" w:rsidRPr="00B75D75">
        <w:t>P</w:t>
      </w:r>
      <w:r w:rsidR="00623306" w:rsidRPr="00B75D75">
        <w:t>osi</w:t>
      </w:r>
      <w:r w:rsidRPr="00B75D75">
        <w:t>tion</w:t>
      </w:r>
      <w:r w:rsidR="00CC3A9E" w:rsidRPr="00B75D75">
        <w:t xml:space="preserve"> and</w:t>
      </w:r>
      <w:r w:rsidR="00BF1F45" w:rsidRPr="00B75D75">
        <w:t xml:space="preserve"> </w:t>
      </w:r>
      <w:r w:rsidR="00046147" w:rsidRPr="00B75D75">
        <w:t>F</w:t>
      </w:r>
      <w:r w:rsidR="00623306" w:rsidRPr="00B75D75">
        <w:t xml:space="preserve">inancial </w:t>
      </w:r>
      <w:r w:rsidR="00046147" w:rsidRPr="00B75D75">
        <w:t>P</w:t>
      </w:r>
      <w:r w:rsidR="00623306" w:rsidRPr="00B75D75">
        <w:t>erformance</w:t>
      </w:r>
      <w:r w:rsidR="00BF1F45" w:rsidRPr="00B75D75">
        <w:t xml:space="preserve"> </w:t>
      </w:r>
      <w:r w:rsidR="00CC3A9E" w:rsidRPr="00B75D75">
        <w:t xml:space="preserve">of the </w:t>
      </w:r>
      <w:r w:rsidR="00ED12FD" w:rsidRPr="00B75D75">
        <w:t>Province for the CY</w:t>
      </w:r>
      <w:r w:rsidR="00AD4506" w:rsidRPr="00B75D75">
        <w:t>s</w:t>
      </w:r>
      <w:r w:rsidR="00ED12FD" w:rsidRPr="00B75D75">
        <w:t xml:space="preserve"> 202</w:t>
      </w:r>
      <w:r w:rsidR="00FF0D3C" w:rsidRPr="00B75D75">
        <w:t>3</w:t>
      </w:r>
      <w:r w:rsidR="00CC3A9E" w:rsidRPr="00B75D75">
        <w:t xml:space="preserve"> and 20</w:t>
      </w:r>
      <w:r w:rsidR="00933697" w:rsidRPr="00B75D75">
        <w:t>2</w:t>
      </w:r>
      <w:r w:rsidR="00FF0D3C" w:rsidRPr="00B75D75">
        <w:t>2</w:t>
      </w:r>
      <w:r w:rsidR="00CC3A9E" w:rsidRPr="00B75D75">
        <w:t xml:space="preserve"> are presented </w:t>
      </w:r>
      <w:r w:rsidR="00BF1F45" w:rsidRPr="00B75D75">
        <w:t>below:</w:t>
      </w:r>
    </w:p>
    <w:p w14:paraId="053E0FEA" w14:textId="5DAE0621" w:rsidR="007A34C5" w:rsidRPr="00540D08" w:rsidRDefault="00B75D75" w:rsidP="00D11F0F">
      <w:pPr>
        <w:ind w:left="426" w:firstLine="708"/>
        <w:jc w:val="both"/>
        <w:rPr>
          <w:highlight w:val="yellow"/>
        </w:rPr>
      </w:pPr>
      <w:r>
        <w:rPr>
          <w:noProof/>
          <w:lang w:val="en-PH" w:eastAsia="en-PH"/>
        </w:rPr>
        <w:drawing>
          <wp:anchor distT="0" distB="0" distL="114300" distR="114300" simplePos="0" relativeHeight="251658240" behindDoc="1" locked="0" layoutInCell="1" allowOverlap="1" wp14:anchorId="7D2BACB3" wp14:editId="08EB8D52">
            <wp:simplePos x="0" y="0"/>
            <wp:positionH relativeFrom="column">
              <wp:posOffset>-527050</wp:posOffset>
            </wp:positionH>
            <wp:positionV relativeFrom="paragraph">
              <wp:posOffset>177800</wp:posOffset>
            </wp:positionV>
            <wp:extent cx="6680200" cy="2193290"/>
            <wp:effectExtent l="0" t="0" r="6350" b="0"/>
            <wp:wrapNone/>
            <wp:docPr id="1" name="Chart 1">
              <a:extLst xmlns:a="http://schemas.openxmlformats.org/drawingml/2006/main">
                <a:ext uri="{FF2B5EF4-FFF2-40B4-BE49-F238E27FC236}">
                  <a16:creationId xmlns:a16="http://schemas.microsoft.com/office/drawing/2014/main" id="{7DAE9AF3-A6FF-423F-B978-A361957F58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anchor>
        </w:drawing>
      </w:r>
    </w:p>
    <w:p w14:paraId="233285D7" w14:textId="1D4791B8" w:rsidR="00A32D03" w:rsidRPr="00540D08" w:rsidRDefault="00A32D03" w:rsidP="007A34C5">
      <w:pPr>
        <w:ind w:left="-284"/>
        <w:rPr>
          <w:highlight w:val="yellow"/>
        </w:rPr>
      </w:pPr>
    </w:p>
    <w:p w14:paraId="459D7B78" w14:textId="4596717A" w:rsidR="00CE0617" w:rsidRPr="00540D08" w:rsidRDefault="00CE0617" w:rsidP="007B4A82">
      <w:pPr>
        <w:rPr>
          <w:b/>
          <w:highlight w:val="yellow"/>
        </w:rPr>
      </w:pPr>
    </w:p>
    <w:p w14:paraId="667A6DB6" w14:textId="77777777" w:rsidR="00B75D75" w:rsidRDefault="00B75D75" w:rsidP="00DF5820">
      <w:pPr>
        <w:ind w:left="426" w:firstLine="708"/>
        <w:jc w:val="both"/>
        <w:rPr>
          <w:highlight w:val="yellow"/>
        </w:rPr>
      </w:pPr>
    </w:p>
    <w:p w14:paraId="1ACECB78" w14:textId="77777777" w:rsidR="00B75D75" w:rsidRDefault="00B75D75" w:rsidP="00DF5820">
      <w:pPr>
        <w:ind w:left="426" w:firstLine="708"/>
        <w:jc w:val="both"/>
        <w:rPr>
          <w:highlight w:val="yellow"/>
        </w:rPr>
      </w:pPr>
    </w:p>
    <w:p w14:paraId="328DB8A5" w14:textId="77777777" w:rsidR="00B75D75" w:rsidRDefault="00B75D75" w:rsidP="00DF5820">
      <w:pPr>
        <w:ind w:left="426" w:firstLine="708"/>
        <w:jc w:val="both"/>
        <w:rPr>
          <w:highlight w:val="yellow"/>
        </w:rPr>
      </w:pPr>
    </w:p>
    <w:p w14:paraId="21F7F4EA" w14:textId="77777777" w:rsidR="00B75D75" w:rsidRDefault="00B75D75" w:rsidP="00DF5820">
      <w:pPr>
        <w:ind w:left="426" w:firstLine="708"/>
        <w:jc w:val="both"/>
        <w:rPr>
          <w:highlight w:val="yellow"/>
        </w:rPr>
      </w:pPr>
    </w:p>
    <w:p w14:paraId="5A7B192D" w14:textId="77777777" w:rsidR="00B75D75" w:rsidRDefault="00B75D75" w:rsidP="00DF5820">
      <w:pPr>
        <w:ind w:left="426" w:firstLine="708"/>
        <w:jc w:val="both"/>
        <w:rPr>
          <w:highlight w:val="yellow"/>
        </w:rPr>
      </w:pPr>
    </w:p>
    <w:p w14:paraId="6EC6861F" w14:textId="77777777" w:rsidR="00B75D75" w:rsidRDefault="00B75D75" w:rsidP="00DF5820">
      <w:pPr>
        <w:ind w:left="426" w:firstLine="708"/>
        <w:jc w:val="both"/>
        <w:rPr>
          <w:highlight w:val="yellow"/>
        </w:rPr>
      </w:pPr>
    </w:p>
    <w:p w14:paraId="12406016" w14:textId="77777777" w:rsidR="00B75D75" w:rsidRDefault="00B75D75" w:rsidP="00DF5820">
      <w:pPr>
        <w:ind w:left="426" w:firstLine="708"/>
        <w:jc w:val="both"/>
        <w:rPr>
          <w:highlight w:val="yellow"/>
        </w:rPr>
      </w:pPr>
    </w:p>
    <w:p w14:paraId="4C67626D" w14:textId="77777777" w:rsidR="00B75D75" w:rsidRDefault="00B75D75" w:rsidP="00DF5820">
      <w:pPr>
        <w:ind w:left="426" w:firstLine="708"/>
        <w:jc w:val="both"/>
        <w:rPr>
          <w:highlight w:val="yellow"/>
        </w:rPr>
      </w:pPr>
    </w:p>
    <w:p w14:paraId="3B0EDEA4" w14:textId="77777777" w:rsidR="00B75D75" w:rsidRDefault="00B75D75" w:rsidP="00DF5820">
      <w:pPr>
        <w:ind w:left="426" w:firstLine="708"/>
        <w:jc w:val="both"/>
        <w:rPr>
          <w:highlight w:val="yellow"/>
        </w:rPr>
      </w:pPr>
    </w:p>
    <w:p w14:paraId="7F5EEE16" w14:textId="77777777" w:rsidR="00B75D75" w:rsidRDefault="00B75D75" w:rsidP="00DF5820">
      <w:pPr>
        <w:ind w:left="426" w:firstLine="708"/>
        <w:jc w:val="both"/>
        <w:rPr>
          <w:highlight w:val="yellow"/>
        </w:rPr>
      </w:pPr>
    </w:p>
    <w:p w14:paraId="011FD107" w14:textId="77777777" w:rsidR="00B75D75" w:rsidRDefault="00B75D75" w:rsidP="00DF5820">
      <w:pPr>
        <w:ind w:left="426" w:firstLine="708"/>
        <w:jc w:val="both"/>
        <w:rPr>
          <w:highlight w:val="yellow"/>
        </w:rPr>
      </w:pPr>
    </w:p>
    <w:p w14:paraId="1EBB0D74" w14:textId="31E9F9AD" w:rsidR="00054623" w:rsidRPr="00167222" w:rsidRDefault="003845B5" w:rsidP="00167222">
      <w:pPr>
        <w:ind w:left="426" w:firstLine="708"/>
        <w:jc w:val="both"/>
      </w:pPr>
      <w:r w:rsidRPr="00167222">
        <w:t>The Audit Team</w:t>
      </w:r>
      <w:r w:rsidR="00706E04" w:rsidRPr="00167222">
        <w:t xml:space="preserve"> noted </w:t>
      </w:r>
      <w:r w:rsidRPr="00167222">
        <w:t>that a significant portion in the increase of asset pertains to the</w:t>
      </w:r>
      <w:r w:rsidR="00706E04" w:rsidRPr="00167222">
        <w:t xml:space="preserve"> </w:t>
      </w:r>
      <w:r w:rsidRPr="00167222">
        <w:t>1,316.50% increase</w:t>
      </w:r>
      <w:r w:rsidR="00706E04" w:rsidRPr="00167222">
        <w:t xml:space="preserve"> on </w:t>
      </w:r>
      <w:r w:rsidRPr="00167222">
        <w:t>Property and Equipment for Distribution account</w:t>
      </w:r>
      <w:r w:rsidR="00EA4514" w:rsidRPr="00167222">
        <w:t>.</w:t>
      </w:r>
      <w:r w:rsidR="00167222">
        <w:t xml:space="preserve"> </w:t>
      </w:r>
      <w:r w:rsidRPr="00167222">
        <w:t>This represents the</w:t>
      </w:r>
      <w:r w:rsidR="00706E04" w:rsidRPr="00167222">
        <w:t xml:space="preserve"> </w:t>
      </w:r>
      <w:r w:rsidRPr="00167222">
        <w:t>92 undistributed units Multi-Purpose Health and Rescue Vehicle</w:t>
      </w:r>
      <w:r w:rsidR="00706E04" w:rsidRPr="00167222">
        <w:t xml:space="preserve">. </w:t>
      </w:r>
      <w:r w:rsidR="00167222" w:rsidRPr="00167222">
        <w:t>T</w:t>
      </w:r>
      <w:r w:rsidR="00EA4514" w:rsidRPr="00167222">
        <w:t>he total liabilities soared because of the increases recorded in the Accounts Payable and Due to NGAs accounts</w:t>
      </w:r>
      <w:r w:rsidR="00167222" w:rsidRPr="00167222">
        <w:t>. The PGLU received significant trust funds from the Department of Health which led to the increase of Due to NGAs account. T</w:t>
      </w:r>
      <w:r w:rsidRPr="00167222">
        <w:t xml:space="preserve">he </w:t>
      </w:r>
      <w:r w:rsidR="00EA4514" w:rsidRPr="00167222">
        <w:t xml:space="preserve">decrease in income was mainly caused by the </w:t>
      </w:r>
      <w:r w:rsidR="00706E04" w:rsidRPr="00167222">
        <w:t xml:space="preserve">significant </w:t>
      </w:r>
      <w:r w:rsidR="005E149D" w:rsidRPr="00167222">
        <w:t>cut</w:t>
      </w:r>
      <w:r w:rsidR="00706E04" w:rsidRPr="00167222">
        <w:t xml:space="preserve"> on the </w:t>
      </w:r>
      <w:r w:rsidR="00316641" w:rsidRPr="00167222">
        <w:t>receipt of Share from Tobacco Excise Tax (RA No</w:t>
      </w:r>
      <w:r w:rsidR="00B533F3" w:rsidRPr="00167222">
        <w:t>s</w:t>
      </w:r>
      <w:r w:rsidR="00316641" w:rsidRPr="00167222">
        <w:t>. 7171</w:t>
      </w:r>
      <w:r w:rsidR="002E7A79" w:rsidRPr="00167222">
        <w:t xml:space="preserve"> and 8240</w:t>
      </w:r>
      <w:r w:rsidR="00316641" w:rsidRPr="00167222">
        <w:t>)</w:t>
      </w:r>
      <w:r w:rsidR="006B1A7E" w:rsidRPr="00167222">
        <w:t xml:space="preserve"> </w:t>
      </w:r>
      <w:r w:rsidR="00DC6904" w:rsidRPr="00167222">
        <w:t xml:space="preserve">while </w:t>
      </w:r>
      <w:r w:rsidR="00E801C8" w:rsidRPr="00167222">
        <w:t xml:space="preserve">a material </w:t>
      </w:r>
      <w:r w:rsidR="00EA4514" w:rsidRPr="00167222">
        <w:t>decrease</w:t>
      </w:r>
      <w:r w:rsidR="00E801C8" w:rsidRPr="00167222">
        <w:t xml:space="preserve"> in expenses was also noted </w:t>
      </w:r>
      <w:r w:rsidR="005E03E5" w:rsidRPr="00167222">
        <w:t xml:space="preserve">due to </w:t>
      </w:r>
      <w:r w:rsidR="00EA4514" w:rsidRPr="00167222">
        <w:t>non-recurrence of the loss absorbed in the sale of investment property last 2022</w:t>
      </w:r>
      <w:r w:rsidR="00CA6048" w:rsidRPr="00167222">
        <w:t>.</w:t>
      </w:r>
    </w:p>
    <w:p w14:paraId="6C185D30" w14:textId="77777777" w:rsidR="00EF7327" w:rsidRPr="00B75C7A" w:rsidRDefault="00EF7327" w:rsidP="00AD4506">
      <w:pPr>
        <w:ind w:left="426" w:firstLine="708"/>
        <w:jc w:val="both"/>
      </w:pPr>
      <w:bookmarkStart w:id="1" w:name="_Hlk94952919"/>
    </w:p>
    <w:p w14:paraId="08FFCF25" w14:textId="4D48D079" w:rsidR="005C3658" w:rsidRPr="00B75C7A" w:rsidRDefault="00B35CB6" w:rsidP="00AD4506">
      <w:pPr>
        <w:ind w:left="426" w:firstLine="708"/>
        <w:jc w:val="both"/>
      </w:pPr>
      <w:r w:rsidRPr="00B75C7A">
        <w:t>T</w:t>
      </w:r>
      <w:r w:rsidR="00FB7BDE" w:rsidRPr="00B75C7A">
        <w:t>he</w:t>
      </w:r>
      <w:r w:rsidR="003C0EAD" w:rsidRPr="00B75C7A">
        <w:t xml:space="preserve"> comparative</w:t>
      </w:r>
      <w:r w:rsidR="00FB7BDE" w:rsidRPr="00B75C7A">
        <w:t xml:space="preserve"> </w:t>
      </w:r>
      <w:r w:rsidR="00434067" w:rsidRPr="00B75C7A">
        <w:t>S</w:t>
      </w:r>
      <w:r w:rsidR="00FB7BDE" w:rsidRPr="00B75C7A">
        <w:t xml:space="preserve">ources and </w:t>
      </w:r>
      <w:r w:rsidR="00434067" w:rsidRPr="00B75C7A">
        <w:t>A</w:t>
      </w:r>
      <w:r w:rsidR="00FB7BDE" w:rsidRPr="00B75C7A">
        <w:t xml:space="preserve">pplication </w:t>
      </w:r>
      <w:r w:rsidR="00EF160C" w:rsidRPr="00B75C7A">
        <w:t>of Funds</w:t>
      </w:r>
      <w:r w:rsidR="003C0EAD" w:rsidRPr="00B75C7A">
        <w:t xml:space="preserve"> </w:t>
      </w:r>
      <w:r w:rsidR="00A61099" w:rsidRPr="00B75C7A">
        <w:t>for CY</w:t>
      </w:r>
      <w:r w:rsidR="00AD4506" w:rsidRPr="00B75C7A">
        <w:t>s</w:t>
      </w:r>
      <w:r w:rsidR="00A61099" w:rsidRPr="00B75C7A">
        <w:t xml:space="preserve"> 202</w:t>
      </w:r>
      <w:r w:rsidR="00167222" w:rsidRPr="00B75C7A">
        <w:t>3</w:t>
      </w:r>
      <w:r w:rsidR="003C0EAD" w:rsidRPr="00B75C7A">
        <w:t xml:space="preserve"> and 20</w:t>
      </w:r>
      <w:r w:rsidR="00C31655" w:rsidRPr="00B75C7A">
        <w:t>2</w:t>
      </w:r>
      <w:r w:rsidR="00167222" w:rsidRPr="00B75C7A">
        <w:t>2</w:t>
      </w:r>
      <w:r w:rsidRPr="00B75C7A">
        <w:t xml:space="preserve"> are </w:t>
      </w:r>
      <w:r w:rsidR="000829A1" w:rsidRPr="00B75C7A">
        <w:t xml:space="preserve">summarized </w:t>
      </w:r>
      <w:r w:rsidRPr="00B75C7A">
        <w:t>as follows</w:t>
      </w:r>
      <w:r w:rsidR="00FB7BDE" w:rsidRPr="00B75C7A">
        <w:t>:</w:t>
      </w:r>
    </w:p>
    <w:p w14:paraId="48B36334" w14:textId="77777777" w:rsidR="00124748" w:rsidRPr="00B75C7A" w:rsidRDefault="00124748" w:rsidP="00AD4506">
      <w:pPr>
        <w:ind w:left="426" w:firstLine="708"/>
        <w:jc w:val="both"/>
        <w:rPr>
          <w:b/>
        </w:rPr>
      </w:pPr>
    </w:p>
    <w:tbl>
      <w:tblPr>
        <w:tblW w:w="7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897"/>
        <w:gridCol w:w="1897"/>
      </w:tblGrid>
      <w:tr w:rsidR="00FD009D" w:rsidRPr="00B75C7A" w14:paraId="161A19A0" w14:textId="77777777" w:rsidTr="00B533F3">
        <w:trPr>
          <w:trHeight w:val="253"/>
          <w:tblHeader/>
          <w:jc w:val="center"/>
        </w:trPr>
        <w:tc>
          <w:tcPr>
            <w:tcW w:w="3382" w:type="dxa"/>
            <w:hideMark/>
          </w:tcPr>
          <w:p w14:paraId="0407522B" w14:textId="77777777" w:rsidR="00877B64" w:rsidRPr="00B75C7A" w:rsidRDefault="00877B64" w:rsidP="00877B64">
            <w:pPr>
              <w:jc w:val="center"/>
              <w:rPr>
                <w:b/>
                <w:bCs/>
                <w:sz w:val="22"/>
                <w:lang w:val="en-PH" w:eastAsia="en-PH"/>
              </w:rPr>
            </w:pPr>
            <w:bookmarkStart w:id="2" w:name="_Hlk135062520"/>
            <w:r w:rsidRPr="00B75C7A">
              <w:rPr>
                <w:b/>
                <w:bCs/>
                <w:sz w:val="22"/>
                <w:lang w:val="en-PH" w:eastAsia="en-PH"/>
              </w:rPr>
              <w:t>Particulars</w:t>
            </w:r>
          </w:p>
        </w:tc>
        <w:tc>
          <w:tcPr>
            <w:tcW w:w="1897" w:type="dxa"/>
          </w:tcPr>
          <w:p w14:paraId="2CAC010A" w14:textId="766B2112" w:rsidR="00877B64" w:rsidRPr="00B75C7A" w:rsidRDefault="00877B64" w:rsidP="00877B64">
            <w:pPr>
              <w:jc w:val="center"/>
              <w:rPr>
                <w:b/>
                <w:bCs/>
                <w:sz w:val="22"/>
                <w:lang w:val="en-PH" w:eastAsia="en-PH"/>
              </w:rPr>
            </w:pPr>
            <w:r w:rsidRPr="00B75C7A">
              <w:rPr>
                <w:b/>
                <w:sz w:val="22"/>
              </w:rPr>
              <w:t>202</w:t>
            </w:r>
            <w:r w:rsidR="00167222" w:rsidRPr="00B75C7A">
              <w:rPr>
                <w:b/>
                <w:sz w:val="22"/>
              </w:rPr>
              <w:t>3</w:t>
            </w:r>
          </w:p>
        </w:tc>
        <w:tc>
          <w:tcPr>
            <w:tcW w:w="1897" w:type="dxa"/>
          </w:tcPr>
          <w:p w14:paraId="27E7E61B" w14:textId="2CA0D758" w:rsidR="00877B64" w:rsidRPr="00B75C7A" w:rsidRDefault="00877B64" w:rsidP="00877B64">
            <w:pPr>
              <w:jc w:val="center"/>
              <w:rPr>
                <w:b/>
                <w:bCs/>
                <w:sz w:val="22"/>
                <w:lang w:val="en-PH" w:eastAsia="en-PH"/>
              </w:rPr>
            </w:pPr>
            <w:r w:rsidRPr="00B75C7A">
              <w:rPr>
                <w:b/>
                <w:sz w:val="22"/>
              </w:rPr>
              <w:t>202</w:t>
            </w:r>
            <w:r w:rsidR="00167222" w:rsidRPr="00B75C7A">
              <w:rPr>
                <w:b/>
                <w:sz w:val="22"/>
              </w:rPr>
              <w:t>2</w:t>
            </w:r>
          </w:p>
        </w:tc>
      </w:tr>
      <w:tr w:rsidR="00FD009D" w:rsidRPr="00B75C7A" w14:paraId="7600B627" w14:textId="77777777" w:rsidTr="00676C4B">
        <w:trPr>
          <w:trHeight w:val="253"/>
          <w:jc w:val="center"/>
        </w:trPr>
        <w:tc>
          <w:tcPr>
            <w:tcW w:w="3382" w:type="dxa"/>
            <w:shd w:val="clear" w:color="auto" w:fill="auto"/>
            <w:vAlign w:val="center"/>
            <w:hideMark/>
          </w:tcPr>
          <w:p w14:paraId="0255D6C3" w14:textId="77777777" w:rsidR="00877B64" w:rsidRPr="00B75C7A" w:rsidRDefault="00877B64" w:rsidP="00877B64">
            <w:pPr>
              <w:jc w:val="both"/>
              <w:rPr>
                <w:b/>
                <w:i/>
                <w:iCs/>
                <w:sz w:val="22"/>
                <w:lang w:val="en-PH" w:eastAsia="en-PH"/>
              </w:rPr>
            </w:pPr>
            <w:r w:rsidRPr="00B75C7A">
              <w:rPr>
                <w:b/>
                <w:i/>
                <w:iCs/>
                <w:sz w:val="22"/>
                <w:lang w:val="en-PH" w:eastAsia="en-PH"/>
              </w:rPr>
              <w:t>General Fund:</w:t>
            </w:r>
          </w:p>
        </w:tc>
        <w:tc>
          <w:tcPr>
            <w:tcW w:w="1897" w:type="dxa"/>
          </w:tcPr>
          <w:p w14:paraId="5AEE4453" w14:textId="77777777" w:rsidR="00877B64" w:rsidRPr="00B75C7A" w:rsidRDefault="00877B64" w:rsidP="00877B64">
            <w:pPr>
              <w:jc w:val="right"/>
              <w:rPr>
                <w:sz w:val="22"/>
                <w:lang w:val="en-PH" w:eastAsia="en-PH"/>
              </w:rPr>
            </w:pPr>
          </w:p>
        </w:tc>
        <w:tc>
          <w:tcPr>
            <w:tcW w:w="1897" w:type="dxa"/>
          </w:tcPr>
          <w:p w14:paraId="321C9CD4" w14:textId="5DB09919" w:rsidR="00877B64" w:rsidRPr="00B75C7A" w:rsidRDefault="00877B64" w:rsidP="00877B64">
            <w:pPr>
              <w:jc w:val="right"/>
              <w:rPr>
                <w:sz w:val="22"/>
                <w:lang w:val="en-PH" w:eastAsia="en-PH"/>
              </w:rPr>
            </w:pPr>
          </w:p>
        </w:tc>
      </w:tr>
      <w:tr w:rsidR="00167222" w:rsidRPr="00B75C7A" w14:paraId="39A80E87" w14:textId="77777777" w:rsidTr="00676C4B">
        <w:trPr>
          <w:trHeight w:val="253"/>
          <w:jc w:val="center"/>
        </w:trPr>
        <w:tc>
          <w:tcPr>
            <w:tcW w:w="3382" w:type="dxa"/>
            <w:shd w:val="clear" w:color="auto" w:fill="auto"/>
            <w:vAlign w:val="center"/>
            <w:hideMark/>
          </w:tcPr>
          <w:p w14:paraId="1458EAFC" w14:textId="77777777" w:rsidR="00167222" w:rsidRPr="00B75C7A" w:rsidRDefault="00167222" w:rsidP="00167222">
            <w:pPr>
              <w:rPr>
                <w:sz w:val="22"/>
                <w:lang w:val="en-PH" w:eastAsia="en-PH"/>
              </w:rPr>
            </w:pPr>
            <w:r w:rsidRPr="00B75C7A">
              <w:rPr>
                <w:sz w:val="22"/>
                <w:lang w:val="en-PH" w:eastAsia="en-PH"/>
              </w:rPr>
              <w:t>Allotments</w:t>
            </w:r>
          </w:p>
        </w:tc>
        <w:tc>
          <w:tcPr>
            <w:tcW w:w="1897" w:type="dxa"/>
          </w:tcPr>
          <w:p w14:paraId="3E0F847B" w14:textId="43727377" w:rsidR="00167222" w:rsidRPr="00B75C7A" w:rsidRDefault="00167222" w:rsidP="00167222">
            <w:pPr>
              <w:jc w:val="right"/>
              <w:rPr>
                <w:sz w:val="22"/>
                <w:lang w:val="en-PH" w:eastAsia="en-PH"/>
              </w:rPr>
            </w:pPr>
            <w:r w:rsidRPr="00B75C7A">
              <w:rPr>
                <w:sz w:val="22"/>
                <w:lang w:val="en-PH" w:eastAsia="en-PH"/>
              </w:rPr>
              <w:t>3,863,948,693.20</w:t>
            </w:r>
          </w:p>
        </w:tc>
        <w:tc>
          <w:tcPr>
            <w:tcW w:w="1897" w:type="dxa"/>
          </w:tcPr>
          <w:p w14:paraId="323B7FEB" w14:textId="163D2901" w:rsidR="00167222" w:rsidRPr="00B75C7A" w:rsidRDefault="00167222" w:rsidP="00167222">
            <w:pPr>
              <w:jc w:val="right"/>
              <w:rPr>
                <w:sz w:val="22"/>
                <w:lang w:val="en-PH" w:eastAsia="en-PH"/>
              </w:rPr>
            </w:pPr>
            <w:r w:rsidRPr="00B75C7A">
              <w:rPr>
                <w:sz w:val="22"/>
                <w:lang w:val="en-PH" w:eastAsia="en-PH"/>
              </w:rPr>
              <w:t>3,736,197,130.71</w:t>
            </w:r>
          </w:p>
        </w:tc>
      </w:tr>
      <w:tr w:rsidR="00167222" w:rsidRPr="00B75C7A" w14:paraId="498CA7E9" w14:textId="77777777" w:rsidTr="00676C4B">
        <w:trPr>
          <w:trHeight w:val="253"/>
          <w:jc w:val="center"/>
        </w:trPr>
        <w:tc>
          <w:tcPr>
            <w:tcW w:w="3382" w:type="dxa"/>
            <w:shd w:val="clear" w:color="auto" w:fill="auto"/>
            <w:vAlign w:val="center"/>
            <w:hideMark/>
          </w:tcPr>
          <w:p w14:paraId="7F421B5E" w14:textId="77777777" w:rsidR="00167222" w:rsidRPr="00B75C7A" w:rsidRDefault="00167222" w:rsidP="00167222">
            <w:pPr>
              <w:rPr>
                <w:sz w:val="22"/>
                <w:lang w:val="en-PH" w:eastAsia="en-PH"/>
              </w:rPr>
            </w:pPr>
            <w:r w:rsidRPr="00B75C7A">
              <w:rPr>
                <w:sz w:val="22"/>
                <w:lang w:val="en-PH" w:eastAsia="en-PH"/>
              </w:rPr>
              <w:t>Obligations</w:t>
            </w:r>
          </w:p>
        </w:tc>
        <w:tc>
          <w:tcPr>
            <w:tcW w:w="1897" w:type="dxa"/>
          </w:tcPr>
          <w:p w14:paraId="429D62B4" w14:textId="150D82D6" w:rsidR="00167222" w:rsidRPr="00B75C7A" w:rsidRDefault="00167222" w:rsidP="00167222">
            <w:pPr>
              <w:jc w:val="right"/>
              <w:rPr>
                <w:sz w:val="22"/>
                <w:lang w:val="en-PH" w:eastAsia="en-PH"/>
              </w:rPr>
            </w:pPr>
            <w:r w:rsidRPr="00B75C7A">
              <w:rPr>
                <w:sz w:val="22"/>
                <w:lang w:val="en-PH" w:eastAsia="en-PH"/>
              </w:rPr>
              <w:t>2,883,987,302.12</w:t>
            </w:r>
          </w:p>
        </w:tc>
        <w:tc>
          <w:tcPr>
            <w:tcW w:w="1897" w:type="dxa"/>
          </w:tcPr>
          <w:p w14:paraId="2620EC8C" w14:textId="0EAC596F" w:rsidR="00167222" w:rsidRPr="00B75C7A" w:rsidRDefault="00167222" w:rsidP="00167222">
            <w:pPr>
              <w:jc w:val="right"/>
              <w:rPr>
                <w:sz w:val="22"/>
                <w:lang w:val="en-PH" w:eastAsia="en-PH"/>
              </w:rPr>
            </w:pPr>
            <w:r w:rsidRPr="00B75C7A">
              <w:rPr>
                <w:sz w:val="22"/>
                <w:lang w:val="en-PH" w:eastAsia="en-PH"/>
              </w:rPr>
              <w:t>2,923,673,802.53</w:t>
            </w:r>
          </w:p>
        </w:tc>
      </w:tr>
      <w:tr w:rsidR="00167222" w:rsidRPr="00B75C7A" w14:paraId="6F52DFC4" w14:textId="77777777" w:rsidTr="00676C4B">
        <w:trPr>
          <w:trHeight w:val="253"/>
          <w:jc w:val="center"/>
        </w:trPr>
        <w:tc>
          <w:tcPr>
            <w:tcW w:w="3382" w:type="dxa"/>
            <w:shd w:val="clear" w:color="auto" w:fill="auto"/>
            <w:vAlign w:val="center"/>
            <w:hideMark/>
          </w:tcPr>
          <w:p w14:paraId="341283B7" w14:textId="77777777" w:rsidR="00167222" w:rsidRPr="00B75C7A" w:rsidRDefault="00167222" w:rsidP="00167222">
            <w:pPr>
              <w:rPr>
                <w:sz w:val="22"/>
                <w:lang w:val="en-PH" w:eastAsia="en-PH"/>
              </w:rPr>
            </w:pPr>
            <w:r w:rsidRPr="00B75C7A">
              <w:rPr>
                <w:sz w:val="22"/>
                <w:lang w:val="en-PH" w:eastAsia="en-PH"/>
              </w:rPr>
              <w:t>Balance</w:t>
            </w:r>
          </w:p>
        </w:tc>
        <w:tc>
          <w:tcPr>
            <w:tcW w:w="1897" w:type="dxa"/>
          </w:tcPr>
          <w:p w14:paraId="7DB18EC7" w14:textId="3A07ACA7" w:rsidR="00167222" w:rsidRPr="00B75C7A" w:rsidRDefault="00167222" w:rsidP="00167222">
            <w:pPr>
              <w:jc w:val="right"/>
              <w:rPr>
                <w:b/>
                <w:sz w:val="22"/>
                <w:lang w:val="en-PH" w:eastAsia="en-PH"/>
              </w:rPr>
            </w:pPr>
            <w:r w:rsidRPr="00B75C7A">
              <w:rPr>
                <w:b/>
                <w:sz w:val="22"/>
                <w:lang w:val="en-PH" w:eastAsia="en-PH"/>
              </w:rPr>
              <w:t>979,961,391.08</w:t>
            </w:r>
          </w:p>
        </w:tc>
        <w:tc>
          <w:tcPr>
            <w:tcW w:w="1897" w:type="dxa"/>
          </w:tcPr>
          <w:p w14:paraId="4553D6CD" w14:textId="7D2441DA" w:rsidR="00167222" w:rsidRPr="00B75C7A" w:rsidRDefault="00167222" w:rsidP="00167222">
            <w:pPr>
              <w:jc w:val="right"/>
              <w:rPr>
                <w:b/>
                <w:sz w:val="22"/>
                <w:lang w:val="en-PH" w:eastAsia="en-PH"/>
              </w:rPr>
            </w:pPr>
            <w:r w:rsidRPr="00B75C7A">
              <w:rPr>
                <w:b/>
                <w:sz w:val="22"/>
                <w:lang w:val="en-PH" w:eastAsia="en-PH"/>
              </w:rPr>
              <w:t>812,523,328.18</w:t>
            </w:r>
          </w:p>
        </w:tc>
      </w:tr>
      <w:tr w:rsidR="00167222" w:rsidRPr="00B75C7A" w14:paraId="02A961B6" w14:textId="77777777" w:rsidTr="00676C4B">
        <w:trPr>
          <w:trHeight w:val="253"/>
          <w:jc w:val="center"/>
        </w:trPr>
        <w:tc>
          <w:tcPr>
            <w:tcW w:w="3382" w:type="dxa"/>
            <w:shd w:val="clear" w:color="auto" w:fill="auto"/>
            <w:vAlign w:val="center"/>
            <w:hideMark/>
          </w:tcPr>
          <w:p w14:paraId="595F5C8F" w14:textId="77777777" w:rsidR="00167222" w:rsidRPr="00B75C7A" w:rsidRDefault="00167222" w:rsidP="00167222">
            <w:pPr>
              <w:rPr>
                <w:b/>
                <w:i/>
                <w:iCs/>
                <w:sz w:val="22"/>
                <w:lang w:val="en-PH" w:eastAsia="en-PH"/>
              </w:rPr>
            </w:pPr>
            <w:r w:rsidRPr="00B75C7A">
              <w:rPr>
                <w:b/>
                <w:i/>
                <w:iCs/>
                <w:sz w:val="22"/>
                <w:lang w:val="en-PH" w:eastAsia="en-PH"/>
              </w:rPr>
              <w:t>Continuing Appropriations</w:t>
            </w:r>
          </w:p>
        </w:tc>
        <w:tc>
          <w:tcPr>
            <w:tcW w:w="1897" w:type="dxa"/>
          </w:tcPr>
          <w:p w14:paraId="0A4FC1F6" w14:textId="2A84F50C" w:rsidR="00167222" w:rsidRPr="00B75C7A" w:rsidRDefault="00167222" w:rsidP="00167222">
            <w:pPr>
              <w:jc w:val="right"/>
              <w:rPr>
                <w:i/>
                <w:iCs/>
                <w:sz w:val="22"/>
                <w:lang w:val="en-PH" w:eastAsia="en-PH"/>
              </w:rPr>
            </w:pPr>
          </w:p>
        </w:tc>
        <w:tc>
          <w:tcPr>
            <w:tcW w:w="1897" w:type="dxa"/>
          </w:tcPr>
          <w:p w14:paraId="3A6ECB9E" w14:textId="703B359F" w:rsidR="00167222" w:rsidRPr="00B75C7A" w:rsidRDefault="00167222" w:rsidP="00167222">
            <w:pPr>
              <w:jc w:val="right"/>
              <w:rPr>
                <w:i/>
                <w:iCs/>
                <w:sz w:val="22"/>
                <w:lang w:val="en-PH" w:eastAsia="en-PH"/>
              </w:rPr>
            </w:pPr>
          </w:p>
        </w:tc>
      </w:tr>
      <w:tr w:rsidR="00167222" w:rsidRPr="00B75C7A" w14:paraId="19E1E064" w14:textId="77777777" w:rsidTr="00676C4B">
        <w:trPr>
          <w:trHeight w:val="253"/>
          <w:jc w:val="center"/>
        </w:trPr>
        <w:tc>
          <w:tcPr>
            <w:tcW w:w="3382" w:type="dxa"/>
            <w:shd w:val="clear" w:color="auto" w:fill="auto"/>
            <w:vAlign w:val="center"/>
            <w:hideMark/>
          </w:tcPr>
          <w:p w14:paraId="37162F07" w14:textId="77777777" w:rsidR="00167222" w:rsidRPr="00B75C7A" w:rsidRDefault="00167222" w:rsidP="00167222">
            <w:pPr>
              <w:rPr>
                <w:sz w:val="22"/>
                <w:lang w:val="en-PH" w:eastAsia="en-PH"/>
              </w:rPr>
            </w:pPr>
            <w:r w:rsidRPr="00B75C7A">
              <w:rPr>
                <w:sz w:val="22"/>
                <w:lang w:val="en-PH" w:eastAsia="en-PH"/>
              </w:rPr>
              <w:t>Allotments</w:t>
            </w:r>
          </w:p>
        </w:tc>
        <w:tc>
          <w:tcPr>
            <w:tcW w:w="1897" w:type="dxa"/>
          </w:tcPr>
          <w:p w14:paraId="4F9335AF" w14:textId="511FF9F6" w:rsidR="00167222" w:rsidRPr="00B75C7A" w:rsidRDefault="00167222" w:rsidP="00167222">
            <w:pPr>
              <w:jc w:val="right"/>
              <w:rPr>
                <w:sz w:val="22"/>
                <w:lang w:val="en-PH" w:eastAsia="en-PH"/>
              </w:rPr>
            </w:pPr>
            <w:r w:rsidRPr="00B75C7A">
              <w:rPr>
                <w:sz w:val="22"/>
                <w:lang w:val="en-PH" w:eastAsia="en-PH"/>
              </w:rPr>
              <w:t>684,290,975.53</w:t>
            </w:r>
          </w:p>
        </w:tc>
        <w:tc>
          <w:tcPr>
            <w:tcW w:w="1897" w:type="dxa"/>
          </w:tcPr>
          <w:p w14:paraId="6916E3F4" w14:textId="45BD2BE9" w:rsidR="00167222" w:rsidRPr="00B75C7A" w:rsidRDefault="00167222" w:rsidP="00167222">
            <w:pPr>
              <w:jc w:val="right"/>
              <w:rPr>
                <w:sz w:val="22"/>
              </w:rPr>
            </w:pPr>
            <w:r w:rsidRPr="00B75C7A">
              <w:rPr>
                <w:sz w:val="22"/>
                <w:lang w:val="en-PH" w:eastAsia="en-PH"/>
              </w:rPr>
              <w:t>468,665,145.92</w:t>
            </w:r>
          </w:p>
        </w:tc>
      </w:tr>
      <w:tr w:rsidR="00167222" w:rsidRPr="00B75C7A" w14:paraId="130E92EC" w14:textId="77777777" w:rsidTr="00676C4B">
        <w:trPr>
          <w:trHeight w:val="253"/>
          <w:jc w:val="center"/>
        </w:trPr>
        <w:tc>
          <w:tcPr>
            <w:tcW w:w="3382" w:type="dxa"/>
            <w:shd w:val="clear" w:color="auto" w:fill="auto"/>
            <w:vAlign w:val="center"/>
            <w:hideMark/>
          </w:tcPr>
          <w:p w14:paraId="096A0CF6" w14:textId="77777777" w:rsidR="00167222" w:rsidRPr="00B75C7A" w:rsidRDefault="00167222" w:rsidP="00167222">
            <w:pPr>
              <w:rPr>
                <w:sz w:val="22"/>
                <w:lang w:val="en-PH" w:eastAsia="en-PH"/>
              </w:rPr>
            </w:pPr>
            <w:r w:rsidRPr="00B75C7A">
              <w:rPr>
                <w:sz w:val="22"/>
                <w:lang w:val="en-PH" w:eastAsia="en-PH"/>
              </w:rPr>
              <w:t>Obligations</w:t>
            </w:r>
          </w:p>
        </w:tc>
        <w:tc>
          <w:tcPr>
            <w:tcW w:w="1897" w:type="dxa"/>
          </w:tcPr>
          <w:p w14:paraId="7B2EFD26" w14:textId="7E87FF59" w:rsidR="00167222" w:rsidRPr="00B75C7A" w:rsidRDefault="00167222" w:rsidP="00167222">
            <w:pPr>
              <w:jc w:val="right"/>
              <w:rPr>
                <w:sz w:val="22"/>
                <w:lang w:val="en-PH" w:eastAsia="en-PH"/>
              </w:rPr>
            </w:pPr>
            <w:r w:rsidRPr="00B75C7A">
              <w:rPr>
                <w:sz w:val="22"/>
                <w:lang w:val="en-PH" w:eastAsia="en-PH"/>
              </w:rPr>
              <w:t>429,070,886.79</w:t>
            </w:r>
          </w:p>
        </w:tc>
        <w:tc>
          <w:tcPr>
            <w:tcW w:w="1897" w:type="dxa"/>
          </w:tcPr>
          <w:p w14:paraId="447FE86C" w14:textId="0FA3F712" w:rsidR="00167222" w:rsidRPr="00B75C7A" w:rsidRDefault="00167222" w:rsidP="00167222">
            <w:pPr>
              <w:jc w:val="right"/>
              <w:rPr>
                <w:sz w:val="22"/>
                <w:lang w:val="en-PH" w:eastAsia="en-PH"/>
              </w:rPr>
            </w:pPr>
            <w:r w:rsidRPr="00B75C7A">
              <w:rPr>
                <w:sz w:val="22"/>
                <w:lang w:val="en-PH" w:eastAsia="en-PH"/>
              </w:rPr>
              <w:t>274,775,244.40</w:t>
            </w:r>
          </w:p>
        </w:tc>
      </w:tr>
      <w:tr w:rsidR="00167222" w:rsidRPr="00B75C7A" w14:paraId="21C900A2" w14:textId="77777777" w:rsidTr="00676C4B">
        <w:trPr>
          <w:trHeight w:val="253"/>
          <w:jc w:val="center"/>
        </w:trPr>
        <w:tc>
          <w:tcPr>
            <w:tcW w:w="3382" w:type="dxa"/>
            <w:shd w:val="clear" w:color="auto" w:fill="auto"/>
            <w:vAlign w:val="center"/>
            <w:hideMark/>
          </w:tcPr>
          <w:p w14:paraId="31272002" w14:textId="77777777" w:rsidR="00167222" w:rsidRPr="00B75C7A" w:rsidRDefault="00167222" w:rsidP="00167222">
            <w:pPr>
              <w:rPr>
                <w:sz w:val="22"/>
                <w:lang w:val="en-PH" w:eastAsia="en-PH"/>
              </w:rPr>
            </w:pPr>
            <w:r w:rsidRPr="00B75C7A">
              <w:rPr>
                <w:sz w:val="22"/>
                <w:lang w:val="en-PH" w:eastAsia="en-PH"/>
              </w:rPr>
              <w:t>Balance</w:t>
            </w:r>
          </w:p>
        </w:tc>
        <w:tc>
          <w:tcPr>
            <w:tcW w:w="1897" w:type="dxa"/>
          </w:tcPr>
          <w:p w14:paraId="60482C32" w14:textId="3535E111" w:rsidR="00167222" w:rsidRPr="00B75C7A" w:rsidRDefault="00B75C7A" w:rsidP="00167222">
            <w:pPr>
              <w:jc w:val="right"/>
              <w:rPr>
                <w:b/>
                <w:sz w:val="22"/>
                <w:lang w:val="en-PH" w:eastAsia="en-PH"/>
              </w:rPr>
            </w:pPr>
            <w:r w:rsidRPr="00B75C7A">
              <w:rPr>
                <w:b/>
                <w:sz w:val="22"/>
                <w:lang w:val="en-PH" w:eastAsia="en-PH"/>
              </w:rPr>
              <w:t>255,220,088.74</w:t>
            </w:r>
          </w:p>
        </w:tc>
        <w:tc>
          <w:tcPr>
            <w:tcW w:w="1897" w:type="dxa"/>
          </w:tcPr>
          <w:p w14:paraId="4503B003" w14:textId="5720A547" w:rsidR="00167222" w:rsidRPr="00B75C7A" w:rsidRDefault="00167222" w:rsidP="00167222">
            <w:pPr>
              <w:jc w:val="right"/>
              <w:rPr>
                <w:b/>
                <w:sz w:val="22"/>
              </w:rPr>
            </w:pPr>
            <w:r w:rsidRPr="00B75C7A">
              <w:rPr>
                <w:b/>
                <w:sz w:val="22"/>
                <w:lang w:val="en-PH" w:eastAsia="en-PH"/>
              </w:rPr>
              <w:t>193,889,901.52</w:t>
            </w:r>
          </w:p>
        </w:tc>
      </w:tr>
      <w:tr w:rsidR="009D11DB" w:rsidRPr="00B75C7A" w14:paraId="78764DE9" w14:textId="77777777" w:rsidTr="00676C4B">
        <w:trPr>
          <w:trHeight w:val="253"/>
          <w:jc w:val="center"/>
        </w:trPr>
        <w:tc>
          <w:tcPr>
            <w:tcW w:w="3382" w:type="dxa"/>
            <w:shd w:val="clear" w:color="auto" w:fill="auto"/>
            <w:vAlign w:val="center"/>
            <w:hideMark/>
          </w:tcPr>
          <w:p w14:paraId="372A1766" w14:textId="77777777" w:rsidR="009D11DB" w:rsidRPr="00B75C7A" w:rsidRDefault="009D11DB" w:rsidP="009D11DB">
            <w:pPr>
              <w:rPr>
                <w:b/>
                <w:i/>
                <w:iCs/>
                <w:sz w:val="22"/>
                <w:lang w:val="en-PH" w:eastAsia="en-PH"/>
              </w:rPr>
            </w:pPr>
            <w:r w:rsidRPr="00B75C7A">
              <w:rPr>
                <w:b/>
                <w:i/>
                <w:iCs/>
                <w:sz w:val="22"/>
                <w:lang w:val="en-PH" w:eastAsia="en-PH"/>
              </w:rPr>
              <w:lastRenderedPageBreak/>
              <w:t>Special Education Fund</w:t>
            </w:r>
          </w:p>
        </w:tc>
        <w:tc>
          <w:tcPr>
            <w:tcW w:w="1897" w:type="dxa"/>
          </w:tcPr>
          <w:p w14:paraId="3050665E" w14:textId="3AA1A7E9" w:rsidR="009D11DB" w:rsidRPr="00B75C7A" w:rsidRDefault="009D11DB" w:rsidP="009D11DB">
            <w:pPr>
              <w:jc w:val="right"/>
              <w:rPr>
                <w:i/>
                <w:iCs/>
                <w:sz w:val="22"/>
                <w:lang w:val="en-PH" w:eastAsia="en-PH"/>
              </w:rPr>
            </w:pPr>
          </w:p>
        </w:tc>
        <w:tc>
          <w:tcPr>
            <w:tcW w:w="1897" w:type="dxa"/>
          </w:tcPr>
          <w:p w14:paraId="64D08802" w14:textId="737DC2A8" w:rsidR="009D11DB" w:rsidRPr="00B75C7A" w:rsidRDefault="009D11DB" w:rsidP="009D11DB">
            <w:pPr>
              <w:jc w:val="right"/>
              <w:rPr>
                <w:i/>
                <w:iCs/>
                <w:sz w:val="22"/>
                <w:lang w:val="en-PH" w:eastAsia="en-PH"/>
              </w:rPr>
            </w:pPr>
          </w:p>
        </w:tc>
      </w:tr>
      <w:tr w:rsidR="00167222" w:rsidRPr="00B75C7A" w14:paraId="24AD024C" w14:textId="77777777" w:rsidTr="00676C4B">
        <w:trPr>
          <w:trHeight w:val="253"/>
          <w:jc w:val="center"/>
        </w:trPr>
        <w:tc>
          <w:tcPr>
            <w:tcW w:w="3382" w:type="dxa"/>
            <w:shd w:val="clear" w:color="auto" w:fill="auto"/>
            <w:vAlign w:val="center"/>
            <w:hideMark/>
          </w:tcPr>
          <w:p w14:paraId="6D97E472" w14:textId="77777777" w:rsidR="00167222" w:rsidRPr="00B75C7A" w:rsidRDefault="00167222" w:rsidP="00167222">
            <w:pPr>
              <w:rPr>
                <w:sz w:val="22"/>
                <w:lang w:val="en-PH" w:eastAsia="en-PH"/>
              </w:rPr>
            </w:pPr>
            <w:r w:rsidRPr="00B75C7A">
              <w:rPr>
                <w:sz w:val="22"/>
                <w:lang w:val="en-PH" w:eastAsia="en-PH"/>
              </w:rPr>
              <w:t>Allotments</w:t>
            </w:r>
          </w:p>
        </w:tc>
        <w:tc>
          <w:tcPr>
            <w:tcW w:w="1897" w:type="dxa"/>
          </w:tcPr>
          <w:p w14:paraId="547CABC4" w14:textId="40040967" w:rsidR="00167222" w:rsidRPr="00B75C7A" w:rsidRDefault="00B75C7A" w:rsidP="00167222">
            <w:pPr>
              <w:jc w:val="right"/>
              <w:rPr>
                <w:sz w:val="22"/>
                <w:lang w:val="en-PH" w:eastAsia="en-PH"/>
              </w:rPr>
            </w:pPr>
            <w:r w:rsidRPr="00B75C7A">
              <w:rPr>
                <w:sz w:val="22"/>
                <w:lang w:val="en-PH" w:eastAsia="en-PH"/>
              </w:rPr>
              <w:t>172,461,600.73</w:t>
            </w:r>
          </w:p>
        </w:tc>
        <w:tc>
          <w:tcPr>
            <w:tcW w:w="1897" w:type="dxa"/>
          </w:tcPr>
          <w:p w14:paraId="7723CC8B" w14:textId="50473362" w:rsidR="00167222" w:rsidRPr="00B75C7A" w:rsidRDefault="00167222" w:rsidP="00167222">
            <w:pPr>
              <w:jc w:val="right"/>
              <w:rPr>
                <w:sz w:val="22"/>
                <w:lang w:val="en-PH" w:eastAsia="en-PH"/>
              </w:rPr>
            </w:pPr>
            <w:r w:rsidRPr="00B75C7A">
              <w:rPr>
                <w:sz w:val="22"/>
                <w:lang w:val="en-PH" w:eastAsia="en-PH"/>
              </w:rPr>
              <w:t>105,483,000.00</w:t>
            </w:r>
          </w:p>
        </w:tc>
      </w:tr>
      <w:tr w:rsidR="00167222" w:rsidRPr="00B75C7A" w14:paraId="06CF1706" w14:textId="77777777" w:rsidTr="00676C4B">
        <w:trPr>
          <w:trHeight w:val="253"/>
          <w:jc w:val="center"/>
        </w:trPr>
        <w:tc>
          <w:tcPr>
            <w:tcW w:w="3382" w:type="dxa"/>
            <w:shd w:val="clear" w:color="auto" w:fill="auto"/>
            <w:vAlign w:val="center"/>
            <w:hideMark/>
          </w:tcPr>
          <w:p w14:paraId="1C3DF6C7" w14:textId="77777777" w:rsidR="00167222" w:rsidRPr="00B75C7A" w:rsidRDefault="00167222" w:rsidP="00167222">
            <w:pPr>
              <w:rPr>
                <w:sz w:val="22"/>
                <w:lang w:val="en-PH" w:eastAsia="en-PH"/>
              </w:rPr>
            </w:pPr>
            <w:r w:rsidRPr="00B75C7A">
              <w:rPr>
                <w:sz w:val="22"/>
                <w:lang w:val="en-PH" w:eastAsia="en-PH"/>
              </w:rPr>
              <w:t>Obligations</w:t>
            </w:r>
          </w:p>
        </w:tc>
        <w:tc>
          <w:tcPr>
            <w:tcW w:w="1897" w:type="dxa"/>
          </w:tcPr>
          <w:p w14:paraId="3612EC1B" w14:textId="40ADA1BE" w:rsidR="00167222" w:rsidRPr="00B75C7A" w:rsidRDefault="00B75C7A" w:rsidP="00167222">
            <w:pPr>
              <w:jc w:val="right"/>
              <w:rPr>
                <w:sz w:val="22"/>
                <w:lang w:val="en-PH" w:eastAsia="en-PH"/>
              </w:rPr>
            </w:pPr>
            <w:r w:rsidRPr="00B75C7A">
              <w:rPr>
                <w:sz w:val="22"/>
                <w:lang w:val="en-PH" w:eastAsia="en-PH"/>
              </w:rPr>
              <w:t>167,542,738.45</w:t>
            </w:r>
          </w:p>
        </w:tc>
        <w:tc>
          <w:tcPr>
            <w:tcW w:w="1897" w:type="dxa"/>
          </w:tcPr>
          <w:p w14:paraId="1030E99E" w14:textId="2F3C39A6" w:rsidR="00167222" w:rsidRPr="00B75C7A" w:rsidRDefault="00167222" w:rsidP="00167222">
            <w:pPr>
              <w:jc w:val="right"/>
              <w:rPr>
                <w:sz w:val="22"/>
                <w:lang w:val="en-PH" w:eastAsia="en-PH"/>
              </w:rPr>
            </w:pPr>
            <w:r w:rsidRPr="00B75C7A">
              <w:rPr>
                <w:sz w:val="22"/>
                <w:lang w:val="en-PH" w:eastAsia="en-PH"/>
              </w:rPr>
              <w:t>98,774,124.67</w:t>
            </w:r>
          </w:p>
        </w:tc>
      </w:tr>
      <w:tr w:rsidR="00167222" w:rsidRPr="00B75C7A" w14:paraId="4B54E288" w14:textId="77777777" w:rsidTr="00676C4B">
        <w:trPr>
          <w:trHeight w:val="253"/>
          <w:jc w:val="center"/>
        </w:trPr>
        <w:tc>
          <w:tcPr>
            <w:tcW w:w="3382" w:type="dxa"/>
            <w:shd w:val="clear" w:color="auto" w:fill="auto"/>
            <w:vAlign w:val="center"/>
            <w:hideMark/>
          </w:tcPr>
          <w:p w14:paraId="51B30643" w14:textId="77777777" w:rsidR="00167222" w:rsidRPr="00B75C7A" w:rsidRDefault="00167222" w:rsidP="00167222">
            <w:pPr>
              <w:rPr>
                <w:b/>
                <w:i/>
                <w:iCs/>
                <w:sz w:val="22"/>
                <w:lang w:val="en-PH" w:eastAsia="en-PH"/>
              </w:rPr>
            </w:pPr>
            <w:r w:rsidRPr="00B75C7A">
              <w:rPr>
                <w:b/>
                <w:sz w:val="22"/>
                <w:lang w:val="en-PH" w:eastAsia="en-PH"/>
              </w:rPr>
              <w:t>Balance</w:t>
            </w:r>
          </w:p>
        </w:tc>
        <w:tc>
          <w:tcPr>
            <w:tcW w:w="1897" w:type="dxa"/>
          </w:tcPr>
          <w:p w14:paraId="7030B393" w14:textId="3D27D7A7" w:rsidR="00167222" w:rsidRPr="00B75C7A" w:rsidRDefault="00B75C7A" w:rsidP="00167222">
            <w:pPr>
              <w:jc w:val="right"/>
              <w:rPr>
                <w:b/>
                <w:sz w:val="22"/>
                <w:lang w:val="en-PH" w:eastAsia="en-PH"/>
              </w:rPr>
            </w:pPr>
            <w:r w:rsidRPr="00B75C7A">
              <w:rPr>
                <w:b/>
                <w:sz w:val="22"/>
                <w:lang w:val="en-PH" w:eastAsia="en-PH"/>
              </w:rPr>
              <w:t>4,918,862.28</w:t>
            </w:r>
          </w:p>
        </w:tc>
        <w:tc>
          <w:tcPr>
            <w:tcW w:w="1897" w:type="dxa"/>
          </w:tcPr>
          <w:p w14:paraId="5C04244F" w14:textId="214E37D2" w:rsidR="00167222" w:rsidRPr="00B75C7A" w:rsidRDefault="00167222" w:rsidP="00167222">
            <w:pPr>
              <w:jc w:val="right"/>
              <w:rPr>
                <w:b/>
                <w:sz w:val="22"/>
                <w:lang w:val="en-PH" w:eastAsia="en-PH"/>
              </w:rPr>
            </w:pPr>
            <w:r w:rsidRPr="00B75C7A">
              <w:rPr>
                <w:b/>
                <w:sz w:val="22"/>
                <w:lang w:val="en-PH" w:eastAsia="en-PH"/>
              </w:rPr>
              <w:t>6,708,875.33</w:t>
            </w:r>
          </w:p>
        </w:tc>
      </w:tr>
      <w:bookmarkEnd w:id="2"/>
    </w:tbl>
    <w:p w14:paraId="12835792" w14:textId="617D7589" w:rsidR="00D22AE9" w:rsidRPr="00540D08" w:rsidRDefault="00D22AE9" w:rsidP="00B40827">
      <w:pPr>
        <w:jc w:val="both"/>
        <w:rPr>
          <w:b/>
          <w:highlight w:val="yellow"/>
        </w:rPr>
      </w:pPr>
    </w:p>
    <w:bookmarkEnd w:id="1"/>
    <w:p w14:paraId="283BADBD" w14:textId="77777777" w:rsidR="008557DA" w:rsidRPr="00B75C7A" w:rsidRDefault="008557DA" w:rsidP="00B40827">
      <w:pPr>
        <w:pStyle w:val="ListParagraph"/>
        <w:ind w:left="0"/>
        <w:jc w:val="both"/>
        <w:rPr>
          <w:rFonts w:ascii="Times New Roman" w:hAnsi="Times New Roman"/>
          <w:b/>
          <w:sz w:val="24"/>
          <w:szCs w:val="24"/>
        </w:rPr>
      </w:pPr>
    </w:p>
    <w:p w14:paraId="0F684FE3" w14:textId="4A6F3B1D" w:rsidR="00B35CD5" w:rsidRPr="00B75C7A" w:rsidRDefault="00B35CD5" w:rsidP="00B40827">
      <w:pPr>
        <w:pStyle w:val="ListParagraph"/>
        <w:ind w:left="0"/>
        <w:jc w:val="both"/>
        <w:rPr>
          <w:rFonts w:ascii="Times New Roman" w:hAnsi="Times New Roman"/>
          <w:b/>
          <w:sz w:val="24"/>
          <w:szCs w:val="24"/>
        </w:rPr>
      </w:pPr>
      <w:r w:rsidRPr="00B75C7A">
        <w:rPr>
          <w:rFonts w:ascii="Times New Roman" w:hAnsi="Times New Roman"/>
          <w:b/>
          <w:sz w:val="24"/>
          <w:szCs w:val="24"/>
        </w:rPr>
        <w:t xml:space="preserve">D.   </w:t>
      </w:r>
      <w:r w:rsidR="00921456" w:rsidRPr="00B75C7A">
        <w:rPr>
          <w:rFonts w:ascii="Times New Roman" w:hAnsi="Times New Roman"/>
          <w:b/>
          <w:sz w:val="24"/>
          <w:szCs w:val="24"/>
        </w:rPr>
        <w:t>Scope of Audit</w:t>
      </w:r>
    </w:p>
    <w:p w14:paraId="2FCD8265" w14:textId="77777777" w:rsidR="005C3658" w:rsidRPr="00B75C7A" w:rsidRDefault="005C3658" w:rsidP="00B40827">
      <w:pPr>
        <w:pStyle w:val="ListParagraph"/>
        <w:ind w:left="0"/>
        <w:jc w:val="both"/>
        <w:rPr>
          <w:rFonts w:ascii="Times New Roman" w:hAnsi="Times New Roman"/>
          <w:b/>
          <w:sz w:val="24"/>
          <w:szCs w:val="24"/>
        </w:rPr>
      </w:pPr>
    </w:p>
    <w:p w14:paraId="39ADA9EC" w14:textId="32E35A49" w:rsidR="00CD26CC" w:rsidRPr="00B75C7A" w:rsidRDefault="005C3658" w:rsidP="00EF7327">
      <w:pPr>
        <w:ind w:left="426" w:firstLine="774"/>
        <w:jc w:val="both"/>
      </w:pPr>
      <w:r w:rsidRPr="00B75C7A">
        <w:t xml:space="preserve">A </w:t>
      </w:r>
      <w:r w:rsidR="001B7D31" w:rsidRPr="00B75C7A">
        <w:t>comprehensive</w:t>
      </w:r>
      <w:r w:rsidRPr="00B75C7A">
        <w:t xml:space="preserve"> audit w</w:t>
      </w:r>
      <w:r w:rsidR="001B7D31" w:rsidRPr="00B75C7A">
        <w:t>as</w:t>
      </w:r>
      <w:r w:rsidRPr="00B75C7A">
        <w:t xml:space="preserve"> conducted </w:t>
      </w:r>
      <w:r w:rsidR="0063030A" w:rsidRPr="00B75C7A">
        <w:t>in accordance with International Standards of Supreme Audit Institutions (ISSAIs)</w:t>
      </w:r>
      <w:r w:rsidR="000A65B5" w:rsidRPr="00B75C7A">
        <w:t>.</w:t>
      </w:r>
      <w:r w:rsidR="00972812" w:rsidRPr="00B75C7A">
        <w:t xml:space="preserve"> </w:t>
      </w:r>
      <w:r w:rsidR="00222048" w:rsidRPr="00B75C7A">
        <w:t>The audit</w:t>
      </w:r>
      <w:r w:rsidR="00CE52FF" w:rsidRPr="00B75C7A">
        <w:t xml:space="preserve"> was conducted to ascertain the fairness of the presentation of the financial statements and compliance of the Province with laws, rules and regulation, as well as the economical, efficient and effective utilization of resources.  </w:t>
      </w:r>
    </w:p>
    <w:p w14:paraId="570B6235" w14:textId="6D8C5E29" w:rsidR="00C31655" w:rsidRDefault="00C31655" w:rsidP="00CD26CC">
      <w:pPr>
        <w:ind w:left="360" w:firstLine="720"/>
        <w:jc w:val="both"/>
        <w:rPr>
          <w:highlight w:val="yellow"/>
        </w:rPr>
      </w:pPr>
    </w:p>
    <w:p w14:paraId="3D052D5A" w14:textId="77777777" w:rsidR="00B75C7A" w:rsidRPr="00787C4B" w:rsidRDefault="00B75C7A" w:rsidP="00CD26CC">
      <w:pPr>
        <w:ind w:left="360" w:firstLine="720"/>
        <w:jc w:val="both"/>
      </w:pPr>
    </w:p>
    <w:p w14:paraId="07A0DA87" w14:textId="5CAF2F0F" w:rsidR="009B0895" w:rsidRPr="00787C4B" w:rsidRDefault="00B35CD5" w:rsidP="00B40827">
      <w:pPr>
        <w:pStyle w:val="ListParagraph"/>
        <w:ind w:left="0"/>
        <w:jc w:val="both"/>
        <w:rPr>
          <w:rFonts w:ascii="Times New Roman" w:hAnsi="Times New Roman"/>
          <w:b/>
          <w:sz w:val="24"/>
          <w:szCs w:val="24"/>
        </w:rPr>
      </w:pPr>
      <w:r w:rsidRPr="00787C4B">
        <w:rPr>
          <w:rFonts w:ascii="Times New Roman" w:hAnsi="Times New Roman"/>
          <w:b/>
          <w:sz w:val="24"/>
          <w:szCs w:val="24"/>
        </w:rPr>
        <w:t xml:space="preserve">E.  </w:t>
      </w:r>
      <w:r w:rsidR="00921456" w:rsidRPr="00787C4B">
        <w:rPr>
          <w:rFonts w:ascii="Times New Roman" w:hAnsi="Times New Roman"/>
          <w:b/>
          <w:sz w:val="24"/>
          <w:szCs w:val="24"/>
        </w:rPr>
        <w:t>Auditor’s Opinion on the Financial Statements</w:t>
      </w:r>
    </w:p>
    <w:p w14:paraId="40EC2577" w14:textId="77777777" w:rsidR="009B0895" w:rsidRPr="00787C4B" w:rsidRDefault="00133434" w:rsidP="009B0895">
      <w:pPr>
        <w:tabs>
          <w:tab w:val="left" w:pos="882"/>
        </w:tabs>
        <w:jc w:val="both"/>
        <w:rPr>
          <w:b/>
        </w:rPr>
      </w:pPr>
      <w:r w:rsidRPr="00787C4B">
        <w:rPr>
          <w:b/>
        </w:rPr>
        <w:t xml:space="preserve"> </w:t>
      </w:r>
    </w:p>
    <w:p w14:paraId="755D4D73" w14:textId="40DAA27F" w:rsidR="00296F8F" w:rsidRPr="00787C4B" w:rsidRDefault="00296F8F" w:rsidP="00296F8F">
      <w:pPr>
        <w:ind w:left="426" w:firstLine="720"/>
        <w:jc w:val="both"/>
      </w:pPr>
      <w:r w:rsidRPr="00787C4B">
        <w:t xml:space="preserve">A qualified opinion on the fairness of presentation of the financial statements was rendered because </w:t>
      </w:r>
      <w:r w:rsidR="00680C2E">
        <w:t>a) o</w:t>
      </w:r>
      <w:r w:rsidR="00680C2E" w:rsidRPr="00680C2E">
        <w:t>bligations were recognized only upon payment rather than at the time the contracts were perfected. Consequently, obligations for prior-year contracts of goods and infrastructure projects were only recorded in CY 2023</w:t>
      </w:r>
      <w:r w:rsidR="00680C2E">
        <w:t xml:space="preserve">, </w:t>
      </w:r>
      <w:r w:rsidR="00680C2E" w:rsidRPr="00680C2E">
        <w:t xml:space="preserve">resulting in an overstatement of the amounts presented under the Original and Final Budget and Actual Amounts columns of the Continuing Appropriations for Capital Outlay in the </w:t>
      </w:r>
      <w:r w:rsidR="00CE74F1" w:rsidRPr="00CE74F1">
        <w:t>Statement of Comparison of Budget and Actual Amounts (SCBAA)</w:t>
      </w:r>
      <w:r w:rsidR="00680C2E" w:rsidRPr="00680C2E">
        <w:t>.</w:t>
      </w:r>
      <w:r w:rsidR="00680C2E">
        <w:t xml:space="preserve"> </w:t>
      </w:r>
      <w:r w:rsidR="00680C2E" w:rsidRPr="00680C2E">
        <w:t>The overstatement amounts to ₱124,363,836.47, respectively</w:t>
      </w:r>
      <w:r w:rsidR="00680C2E">
        <w:t>; and b) a</w:t>
      </w:r>
      <w:r w:rsidR="00680C2E" w:rsidRPr="00680C2E">
        <w:t>ccumulated depreciation was understated by at least ₱3,604,376.51 due to the inconsistent application of a salvage value of 10 percent for some PPEs, instead of the prescribed five percent</w:t>
      </w:r>
      <w:r w:rsidR="00680C2E">
        <w:t>.</w:t>
      </w:r>
    </w:p>
    <w:p w14:paraId="5E165A8F" w14:textId="03EB6E93" w:rsidR="007E02E1" w:rsidRDefault="007E02E1" w:rsidP="00124748">
      <w:pPr>
        <w:pStyle w:val="ListParagraph"/>
        <w:ind w:left="1080"/>
        <w:jc w:val="both"/>
        <w:rPr>
          <w:rFonts w:ascii="Times New Roman" w:hAnsi="Times New Roman"/>
          <w:sz w:val="24"/>
          <w:szCs w:val="24"/>
          <w:highlight w:val="yellow"/>
        </w:rPr>
      </w:pPr>
    </w:p>
    <w:p w14:paraId="12B14DD9" w14:textId="77777777" w:rsidR="00680C2E" w:rsidRDefault="00680C2E" w:rsidP="00124748">
      <w:pPr>
        <w:pStyle w:val="ListParagraph"/>
        <w:ind w:left="1080"/>
        <w:jc w:val="both"/>
        <w:rPr>
          <w:rFonts w:ascii="Times New Roman" w:hAnsi="Times New Roman"/>
          <w:sz w:val="24"/>
          <w:szCs w:val="24"/>
          <w:highlight w:val="yellow"/>
        </w:rPr>
      </w:pPr>
    </w:p>
    <w:p w14:paraId="22C7E4C9" w14:textId="45907530" w:rsidR="00036704" w:rsidRPr="00787C4B" w:rsidRDefault="00D818FD" w:rsidP="009666D4">
      <w:pPr>
        <w:ind w:left="360" w:right="-90" w:hanging="360"/>
        <w:rPr>
          <w:b/>
        </w:rPr>
      </w:pPr>
      <w:r w:rsidRPr="00787C4B">
        <w:rPr>
          <w:b/>
        </w:rPr>
        <w:t>F</w:t>
      </w:r>
      <w:r w:rsidR="00B40827" w:rsidRPr="00787C4B">
        <w:rPr>
          <w:b/>
        </w:rPr>
        <w:t>.</w:t>
      </w:r>
      <w:r w:rsidR="00B35CD5" w:rsidRPr="00787C4B">
        <w:rPr>
          <w:b/>
        </w:rPr>
        <w:t xml:space="preserve">  </w:t>
      </w:r>
      <w:r w:rsidR="00245ACA" w:rsidRPr="00787C4B">
        <w:rPr>
          <w:b/>
        </w:rPr>
        <w:t xml:space="preserve">Significant Audit Observations and Recommendations </w:t>
      </w:r>
    </w:p>
    <w:p w14:paraId="69A0BBC6" w14:textId="77777777" w:rsidR="00036704" w:rsidRPr="00787C4B" w:rsidRDefault="00036704" w:rsidP="00EC4D3E">
      <w:pPr>
        <w:ind w:left="360"/>
        <w:jc w:val="both"/>
        <w:rPr>
          <w:b/>
        </w:rPr>
      </w:pPr>
    </w:p>
    <w:p w14:paraId="56508314" w14:textId="76CAF388" w:rsidR="0071409F" w:rsidRPr="007B6D99" w:rsidRDefault="0071409F" w:rsidP="0071409F">
      <w:pPr>
        <w:ind w:left="360" w:firstLine="720"/>
        <w:jc w:val="both"/>
      </w:pPr>
      <w:r w:rsidRPr="00787C4B">
        <w:t xml:space="preserve">We commend the Provincial Accounting Office for the early submission </w:t>
      </w:r>
      <w:r w:rsidR="00A5456E" w:rsidRPr="00787C4B">
        <w:t>of the Year-End Financial Statements for CY 202</w:t>
      </w:r>
      <w:r w:rsidR="00787C4B" w:rsidRPr="00787C4B">
        <w:t>3</w:t>
      </w:r>
      <w:r w:rsidR="00A5456E" w:rsidRPr="00787C4B">
        <w:t xml:space="preserve"> </w:t>
      </w:r>
      <w:r w:rsidRPr="00787C4B">
        <w:t xml:space="preserve">on </w:t>
      </w:r>
      <w:r w:rsidR="00AF3115" w:rsidRPr="00B60EC5">
        <w:t xml:space="preserve">January </w:t>
      </w:r>
      <w:r w:rsidR="00B60EC5" w:rsidRPr="00B60EC5">
        <w:t>29</w:t>
      </w:r>
      <w:r w:rsidR="00AF3115" w:rsidRPr="00B60EC5">
        <w:t>,</w:t>
      </w:r>
      <w:r w:rsidRPr="00B60EC5">
        <w:t xml:space="preserve"> 20</w:t>
      </w:r>
      <w:r w:rsidR="00637AA0" w:rsidRPr="00B60EC5">
        <w:t>2</w:t>
      </w:r>
      <w:r w:rsidR="00B60EC5" w:rsidRPr="00B60EC5">
        <w:t>4</w:t>
      </w:r>
      <w:r w:rsidRPr="00B60EC5">
        <w:t xml:space="preserve">. </w:t>
      </w:r>
      <w:r w:rsidRPr="00787C4B">
        <w:t>We likewise acknowledge the positive response of management on our previous years</w:t>
      </w:r>
      <w:r w:rsidR="001A7798" w:rsidRPr="00787C4B">
        <w:t>’</w:t>
      </w:r>
      <w:r w:rsidRPr="00787C4B">
        <w:t xml:space="preserve"> audit </w:t>
      </w:r>
      <w:r w:rsidRPr="007B6D99">
        <w:t>recommendations and current year’s audit observation memoranda.</w:t>
      </w:r>
    </w:p>
    <w:p w14:paraId="69C18289" w14:textId="77777777" w:rsidR="0071409F" w:rsidRPr="007B6D99" w:rsidRDefault="0071409F" w:rsidP="0071409F">
      <w:pPr>
        <w:ind w:left="360"/>
        <w:jc w:val="both"/>
        <w:rPr>
          <w:b/>
        </w:rPr>
      </w:pPr>
    </w:p>
    <w:p w14:paraId="3ABA9ED2" w14:textId="6AF51157" w:rsidR="0071409F" w:rsidRPr="007B6D99" w:rsidRDefault="00702E37" w:rsidP="00DC0208">
      <w:pPr>
        <w:ind w:left="360" w:firstLine="720"/>
        <w:jc w:val="both"/>
      </w:pPr>
      <w:r w:rsidRPr="007B6D99">
        <w:t>T</w:t>
      </w:r>
      <w:r w:rsidR="0071409F" w:rsidRPr="007B6D99">
        <w:t xml:space="preserve">he audit team also noted the following </w:t>
      </w:r>
      <w:r w:rsidR="0082012D" w:rsidRPr="007B6D99">
        <w:t xml:space="preserve">other </w:t>
      </w:r>
      <w:r w:rsidR="0071409F" w:rsidRPr="007B6D99">
        <w:t xml:space="preserve">significant audit observations on the operations of the </w:t>
      </w:r>
      <w:r w:rsidR="001A7798" w:rsidRPr="007B6D99">
        <w:t>PGLU</w:t>
      </w:r>
      <w:r w:rsidR="00755662" w:rsidRPr="007B6D99">
        <w:t xml:space="preserve"> for the CY 202</w:t>
      </w:r>
      <w:r w:rsidR="00787C4B" w:rsidRPr="007B6D99">
        <w:t>3</w:t>
      </w:r>
      <w:r w:rsidR="0071409F" w:rsidRPr="007B6D99">
        <w:t xml:space="preserve"> and has given the corresponding recommendations, as follows:</w:t>
      </w:r>
    </w:p>
    <w:p w14:paraId="246BBBE0" w14:textId="77777777" w:rsidR="00843136" w:rsidRPr="00B60EC5" w:rsidRDefault="0097285C" w:rsidP="00FA5338">
      <w:pPr>
        <w:ind w:left="360" w:firstLine="720"/>
        <w:jc w:val="both"/>
      </w:pPr>
      <w:r w:rsidRPr="00B60EC5">
        <w:t xml:space="preserve"> </w:t>
      </w:r>
    </w:p>
    <w:p w14:paraId="009010DB" w14:textId="30596439" w:rsidR="00B60EC5" w:rsidRPr="008701DB" w:rsidRDefault="00B60EC5" w:rsidP="00B60EC5">
      <w:pPr>
        <w:pStyle w:val="ListParagraph"/>
        <w:numPr>
          <w:ilvl w:val="0"/>
          <w:numId w:val="34"/>
        </w:numPr>
        <w:jc w:val="both"/>
        <w:rPr>
          <w:rFonts w:ascii="Times New Roman" w:hAnsi="Times New Roman"/>
          <w:sz w:val="24"/>
          <w:szCs w:val="24"/>
        </w:rPr>
      </w:pPr>
      <w:r w:rsidRPr="008701DB">
        <w:rPr>
          <w:rFonts w:ascii="Times New Roman" w:hAnsi="Times New Roman"/>
          <w:sz w:val="24"/>
          <w:szCs w:val="24"/>
        </w:rPr>
        <w:t xml:space="preserve">The justification for granting time extensions due material shortages and rain-related delays, ranging from 76 to 181 days, for 11 infrastructure projects totaling ₱54,555,776.27 could not be confirmed due to lack of supporting documents, discrepancies between the number of suspended days and the data from </w:t>
      </w:r>
      <w:r w:rsidR="006D12A6" w:rsidRPr="008701DB">
        <w:rPr>
          <w:rFonts w:ascii="Times New Roman" w:hAnsi="Times New Roman"/>
          <w:sz w:val="24"/>
          <w:szCs w:val="24"/>
        </w:rPr>
        <w:t xml:space="preserve">Philippine Atmospheric, Geophysical, and Astronomical Services Administration </w:t>
      </w:r>
      <w:r w:rsidR="006D12A6" w:rsidRPr="008701DB">
        <w:rPr>
          <w:rFonts w:ascii="Times New Roman" w:hAnsi="Times New Roman"/>
          <w:sz w:val="24"/>
          <w:szCs w:val="24"/>
        </w:rPr>
        <w:lastRenderedPageBreak/>
        <w:t>(PAGASA)</w:t>
      </w:r>
      <w:r w:rsidRPr="008701DB">
        <w:rPr>
          <w:rFonts w:ascii="Times New Roman" w:hAnsi="Times New Roman"/>
          <w:sz w:val="24"/>
          <w:szCs w:val="24"/>
        </w:rPr>
        <w:t>, as well as inconsistencies in the suspended days granted to nearly identically located projects. This does not align with the pertinent provisions of Annex E of the Revised I</w:t>
      </w:r>
      <w:r w:rsidR="006D12A6" w:rsidRPr="008701DB">
        <w:rPr>
          <w:rFonts w:ascii="Times New Roman" w:hAnsi="Times New Roman"/>
          <w:sz w:val="24"/>
          <w:szCs w:val="24"/>
        </w:rPr>
        <w:t xml:space="preserve">mplementing </w:t>
      </w:r>
      <w:r w:rsidRPr="008701DB">
        <w:rPr>
          <w:rFonts w:ascii="Times New Roman" w:hAnsi="Times New Roman"/>
          <w:sz w:val="24"/>
          <w:szCs w:val="24"/>
        </w:rPr>
        <w:t>R</w:t>
      </w:r>
      <w:r w:rsidR="006D12A6" w:rsidRPr="008701DB">
        <w:rPr>
          <w:rFonts w:ascii="Times New Roman" w:hAnsi="Times New Roman"/>
          <w:sz w:val="24"/>
          <w:szCs w:val="24"/>
        </w:rPr>
        <w:t xml:space="preserve">ules and </w:t>
      </w:r>
      <w:r w:rsidRPr="008701DB">
        <w:rPr>
          <w:rFonts w:ascii="Times New Roman" w:hAnsi="Times New Roman"/>
          <w:sz w:val="24"/>
          <w:szCs w:val="24"/>
        </w:rPr>
        <w:t>R</w:t>
      </w:r>
      <w:r w:rsidR="006D12A6" w:rsidRPr="008701DB">
        <w:rPr>
          <w:rFonts w:ascii="Times New Roman" w:hAnsi="Times New Roman"/>
          <w:sz w:val="24"/>
          <w:szCs w:val="24"/>
        </w:rPr>
        <w:t>egulations (IRR)</w:t>
      </w:r>
      <w:r w:rsidRPr="008701DB">
        <w:rPr>
          <w:rFonts w:ascii="Times New Roman" w:hAnsi="Times New Roman"/>
          <w:sz w:val="24"/>
          <w:szCs w:val="24"/>
        </w:rPr>
        <w:t xml:space="preserve"> of </w:t>
      </w:r>
      <w:r w:rsidR="006D12A6" w:rsidRPr="008701DB">
        <w:rPr>
          <w:rFonts w:ascii="Times New Roman" w:hAnsi="Times New Roman"/>
          <w:sz w:val="24"/>
          <w:szCs w:val="24"/>
        </w:rPr>
        <w:t>Republic Act (</w:t>
      </w:r>
      <w:r w:rsidRPr="008701DB">
        <w:rPr>
          <w:rFonts w:ascii="Times New Roman" w:hAnsi="Times New Roman"/>
          <w:sz w:val="24"/>
          <w:szCs w:val="24"/>
        </w:rPr>
        <w:t>RA</w:t>
      </w:r>
      <w:r w:rsidR="006D12A6" w:rsidRPr="008701DB">
        <w:rPr>
          <w:rFonts w:ascii="Times New Roman" w:hAnsi="Times New Roman"/>
          <w:sz w:val="24"/>
          <w:szCs w:val="24"/>
        </w:rPr>
        <w:t>)</w:t>
      </w:r>
      <w:r w:rsidRPr="008701DB">
        <w:rPr>
          <w:rFonts w:ascii="Times New Roman" w:hAnsi="Times New Roman"/>
          <w:sz w:val="24"/>
          <w:szCs w:val="24"/>
        </w:rPr>
        <w:t xml:space="preserve"> No. 9184, thereby raises concerns about the reasonableness of the extensions granted which prolonged the implementation of the projects.</w:t>
      </w:r>
    </w:p>
    <w:p w14:paraId="741043B2" w14:textId="77777777" w:rsidR="00787C4B" w:rsidRPr="008701DB" w:rsidRDefault="00787C4B" w:rsidP="00787C4B">
      <w:pPr>
        <w:pStyle w:val="ListParagraph"/>
        <w:jc w:val="both"/>
        <w:rPr>
          <w:rFonts w:ascii="Times New Roman" w:hAnsi="Times New Roman"/>
          <w:sz w:val="24"/>
          <w:szCs w:val="24"/>
        </w:rPr>
      </w:pPr>
    </w:p>
    <w:p w14:paraId="3DE3A097" w14:textId="77777777" w:rsidR="00787C4B" w:rsidRPr="008701DB" w:rsidRDefault="00787C4B" w:rsidP="00787C4B">
      <w:pPr>
        <w:ind w:firstLine="720"/>
        <w:contextualSpacing/>
        <w:jc w:val="both"/>
        <w:rPr>
          <w:lang w:val="en-PH" w:eastAsia="en-PH"/>
        </w:rPr>
      </w:pPr>
      <w:r w:rsidRPr="008701DB">
        <w:rPr>
          <w:lang w:val="en-PH" w:eastAsia="en-PH"/>
        </w:rPr>
        <w:t>We recommended that the Provincial Governor direct the Provincial Engineer to:</w:t>
      </w:r>
    </w:p>
    <w:p w14:paraId="60949C57" w14:textId="34F6BA23" w:rsidR="00787C4B" w:rsidRPr="008701DB" w:rsidRDefault="00787C4B" w:rsidP="00B60EC5">
      <w:pPr>
        <w:ind w:left="1080"/>
        <w:contextualSpacing/>
        <w:jc w:val="both"/>
        <w:rPr>
          <w:lang w:val="en-PH" w:eastAsia="en-PH"/>
        </w:rPr>
      </w:pPr>
    </w:p>
    <w:p w14:paraId="1ECB9926" w14:textId="3F2FBE9A" w:rsidR="00B60EC5" w:rsidRPr="008701DB" w:rsidRDefault="00B60EC5" w:rsidP="00B60EC5">
      <w:pPr>
        <w:pStyle w:val="ListParagraph"/>
        <w:numPr>
          <w:ilvl w:val="0"/>
          <w:numId w:val="24"/>
        </w:numPr>
        <w:jc w:val="both"/>
        <w:rPr>
          <w:rFonts w:ascii="Times New Roman" w:hAnsi="Times New Roman"/>
          <w:sz w:val="24"/>
          <w:szCs w:val="24"/>
          <w:lang w:val="en-PH" w:eastAsia="en-PH"/>
        </w:rPr>
      </w:pPr>
      <w:r w:rsidRPr="008701DB">
        <w:rPr>
          <w:rFonts w:ascii="Times New Roman" w:hAnsi="Times New Roman"/>
          <w:sz w:val="24"/>
          <w:szCs w:val="24"/>
          <w:lang w:val="en-PH" w:eastAsia="en-PH"/>
        </w:rPr>
        <w:t>Require personnel who undertake inspection or assessment to make a monitoring, inspection, or accomplishment report for every site inspection, which must be duly documented and backed up with photos. Otherwise, require the contractor to submit the geotagged photos of the site to back up his claims, and</w:t>
      </w:r>
    </w:p>
    <w:p w14:paraId="3F92863A" w14:textId="784FA3CF" w:rsidR="00787C4B" w:rsidRPr="008701DB" w:rsidRDefault="00787C4B" w:rsidP="00787C4B">
      <w:pPr>
        <w:ind w:left="1080"/>
        <w:contextualSpacing/>
        <w:jc w:val="both"/>
        <w:rPr>
          <w:lang w:val="en-PH" w:eastAsia="en-PH"/>
        </w:rPr>
      </w:pPr>
    </w:p>
    <w:p w14:paraId="00D87001" w14:textId="7B8B813F" w:rsidR="00F20BFA" w:rsidRPr="008701DB" w:rsidRDefault="00787C4B" w:rsidP="00787C4B">
      <w:pPr>
        <w:numPr>
          <w:ilvl w:val="0"/>
          <w:numId w:val="24"/>
        </w:numPr>
        <w:contextualSpacing/>
        <w:jc w:val="both"/>
        <w:rPr>
          <w:lang w:val="fil-PH" w:eastAsia="en-PH"/>
        </w:rPr>
      </w:pPr>
      <w:r w:rsidRPr="008701DB">
        <w:rPr>
          <w:lang w:val="en-PH" w:eastAsia="en-PH"/>
        </w:rPr>
        <w:t>Defer the recommendation of suspension of work in the absence of proofs to the back-up reasons stated therein or those not in accordance with RA No. 9184. In the absence of supporting documents, the unworkable days perceived in the PAGASA Reports should be followed in the grant of time extensions.</w:t>
      </w:r>
    </w:p>
    <w:p w14:paraId="42944074" w14:textId="77777777" w:rsidR="00F20BFA" w:rsidRPr="008701DB" w:rsidRDefault="00F20BFA" w:rsidP="00B60EC5">
      <w:pPr>
        <w:pStyle w:val="ListParagraph"/>
        <w:jc w:val="both"/>
        <w:rPr>
          <w:rFonts w:ascii="Times New Roman" w:hAnsi="Times New Roman"/>
          <w:sz w:val="24"/>
          <w:szCs w:val="24"/>
        </w:rPr>
      </w:pPr>
    </w:p>
    <w:p w14:paraId="04D5AFBD" w14:textId="39E385F7" w:rsidR="00B60EC5" w:rsidRPr="008701DB" w:rsidRDefault="00B60EC5" w:rsidP="00B60EC5">
      <w:pPr>
        <w:pStyle w:val="ListParagraph"/>
        <w:numPr>
          <w:ilvl w:val="0"/>
          <w:numId w:val="34"/>
        </w:numPr>
        <w:jc w:val="both"/>
        <w:rPr>
          <w:rFonts w:ascii="Times New Roman" w:hAnsi="Times New Roman"/>
          <w:sz w:val="24"/>
          <w:szCs w:val="24"/>
        </w:rPr>
      </w:pPr>
      <w:r w:rsidRPr="008701DB">
        <w:rPr>
          <w:rFonts w:ascii="Times New Roman" w:hAnsi="Times New Roman"/>
          <w:sz w:val="24"/>
          <w:szCs w:val="24"/>
        </w:rPr>
        <w:t>Eleven infrastructure projects amounting to ₱57,542,560.20 were delayed by 30 to 200 days due to inadequate planning, detailed engineering and coordination with the stakeholders and end-users, contrary to Annex “A” of the 2016 Revised IRR of RA No. 9184, therefore hindering the constituents from getting timely benefit from these projects.</w:t>
      </w:r>
    </w:p>
    <w:p w14:paraId="0ECDEFC5" w14:textId="77777777" w:rsidR="00E12BFE" w:rsidRPr="008701DB" w:rsidRDefault="00E12BFE" w:rsidP="00E12BFE">
      <w:pPr>
        <w:pStyle w:val="ListParagraph"/>
        <w:jc w:val="both"/>
        <w:rPr>
          <w:rFonts w:ascii="Times New Roman" w:hAnsi="Times New Roman"/>
          <w:sz w:val="24"/>
          <w:szCs w:val="24"/>
        </w:rPr>
      </w:pPr>
    </w:p>
    <w:p w14:paraId="2CABF8DB" w14:textId="77777777" w:rsidR="00787C4B" w:rsidRPr="008701DB" w:rsidRDefault="00787C4B" w:rsidP="00787C4B">
      <w:pPr>
        <w:ind w:firstLine="720"/>
        <w:jc w:val="both"/>
      </w:pPr>
      <w:r w:rsidRPr="008701DB">
        <w:t xml:space="preserve">We recommended the Management: </w:t>
      </w:r>
    </w:p>
    <w:p w14:paraId="5C76A294" w14:textId="77777777" w:rsidR="00787C4B" w:rsidRPr="008701DB" w:rsidRDefault="00787C4B" w:rsidP="00787C4B">
      <w:pPr>
        <w:pStyle w:val="ListParagraph"/>
        <w:ind w:left="1494"/>
        <w:jc w:val="both"/>
        <w:rPr>
          <w:rFonts w:ascii="Times New Roman" w:hAnsi="Times New Roman"/>
          <w:sz w:val="24"/>
          <w:szCs w:val="24"/>
        </w:rPr>
      </w:pPr>
    </w:p>
    <w:p w14:paraId="4E47EA5F" w14:textId="204DDFCE" w:rsidR="00787C4B" w:rsidRPr="008701DB" w:rsidRDefault="00787C4B" w:rsidP="00B60EC5">
      <w:pPr>
        <w:pStyle w:val="ListParagraph"/>
        <w:numPr>
          <w:ilvl w:val="0"/>
          <w:numId w:val="29"/>
        </w:numPr>
        <w:jc w:val="both"/>
        <w:rPr>
          <w:rFonts w:ascii="Times New Roman" w:eastAsia="Times New Roman" w:hAnsi="Times New Roman"/>
          <w:sz w:val="24"/>
          <w:szCs w:val="24"/>
        </w:rPr>
      </w:pPr>
      <w:r w:rsidRPr="008701DB">
        <w:t xml:space="preserve"> </w:t>
      </w:r>
      <w:r w:rsidR="00B60EC5" w:rsidRPr="008701DB">
        <w:rPr>
          <w:rFonts w:ascii="Times New Roman" w:eastAsia="Times New Roman" w:hAnsi="Times New Roman"/>
          <w:sz w:val="24"/>
          <w:szCs w:val="24"/>
        </w:rPr>
        <w:t>Ensure that all parties in the project, including the requestor and end-user, are involved in the planning phase in order that their preferences such as design, specification, location and timing are considered in order to avoid changes during the implementation phase;</w:t>
      </w:r>
    </w:p>
    <w:p w14:paraId="37F719DA" w14:textId="77777777" w:rsidR="00787C4B" w:rsidRPr="008701DB" w:rsidRDefault="00787C4B" w:rsidP="00787C4B">
      <w:pPr>
        <w:ind w:left="1080"/>
        <w:contextualSpacing/>
        <w:jc w:val="both"/>
      </w:pPr>
    </w:p>
    <w:p w14:paraId="1DA783C8" w14:textId="77777777" w:rsidR="00787C4B" w:rsidRPr="008701DB" w:rsidRDefault="00787C4B" w:rsidP="00787C4B">
      <w:pPr>
        <w:numPr>
          <w:ilvl w:val="0"/>
          <w:numId w:val="29"/>
        </w:numPr>
        <w:contextualSpacing/>
        <w:jc w:val="both"/>
      </w:pPr>
      <w:r w:rsidRPr="008701DB">
        <w:t>Require any requestor to disclose whether they have already requested the same project from other government agencies and remind them to wait for the response of the PGLU before submitting any request letter to other agencies to avoid duplication of project;</w:t>
      </w:r>
    </w:p>
    <w:p w14:paraId="3E77635A" w14:textId="77777777" w:rsidR="00787C4B" w:rsidRPr="008701DB" w:rsidRDefault="00787C4B" w:rsidP="00787C4B">
      <w:pPr>
        <w:ind w:left="1080"/>
        <w:contextualSpacing/>
        <w:jc w:val="both"/>
      </w:pPr>
    </w:p>
    <w:p w14:paraId="052B496B" w14:textId="12D8B04B" w:rsidR="00787C4B" w:rsidRPr="008701DB" w:rsidRDefault="00787C4B" w:rsidP="00787C4B">
      <w:pPr>
        <w:numPr>
          <w:ilvl w:val="0"/>
          <w:numId w:val="29"/>
        </w:numPr>
        <w:contextualSpacing/>
        <w:jc w:val="both"/>
      </w:pPr>
      <w:r w:rsidRPr="008701DB">
        <w:t xml:space="preserve">Coordinate with the different agencies, especially the </w:t>
      </w:r>
      <w:r w:rsidR="008C0C36" w:rsidRPr="008701DB">
        <w:t>Department of Public Works and Highways (</w:t>
      </w:r>
      <w:r w:rsidRPr="008701DB">
        <w:t>DPWH</w:t>
      </w:r>
      <w:r w:rsidR="008C0C36" w:rsidRPr="008701DB">
        <w:t>)</w:t>
      </w:r>
      <w:r w:rsidRPr="008701DB">
        <w:t xml:space="preserve"> and the partner </w:t>
      </w:r>
      <w:r w:rsidR="008C0C36" w:rsidRPr="008701DB">
        <w:t>Local Government Units (</w:t>
      </w:r>
      <w:r w:rsidRPr="008701DB">
        <w:t>LGU</w:t>
      </w:r>
      <w:r w:rsidR="008C0C36" w:rsidRPr="008701DB">
        <w:t>s)</w:t>
      </w:r>
      <w:r w:rsidRPr="008701DB">
        <w:t xml:space="preserve">, and reconcile the respective </w:t>
      </w:r>
      <w:r w:rsidR="008C0C36" w:rsidRPr="008701DB">
        <w:t>Annual Procurement Plans (</w:t>
      </w:r>
      <w:r w:rsidRPr="008701DB">
        <w:t>APPs</w:t>
      </w:r>
      <w:r w:rsidR="008C0C36" w:rsidRPr="008701DB">
        <w:t>)</w:t>
      </w:r>
      <w:r w:rsidRPr="008701DB">
        <w:t xml:space="preserve"> and</w:t>
      </w:r>
      <w:r w:rsidR="00D24AA1" w:rsidRPr="008701DB">
        <w:t xml:space="preserve"> Supplemental Procurement Plans (SPP</w:t>
      </w:r>
      <w:r w:rsidRPr="008701DB">
        <w:t>s</w:t>
      </w:r>
      <w:r w:rsidR="00D24AA1" w:rsidRPr="008701DB">
        <w:t>)</w:t>
      </w:r>
      <w:r w:rsidRPr="008701DB">
        <w:t xml:space="preserve"> of the parties involved to detect any potential duplication or overlapping, and if necessary, to consider any possible schedule adjustment to harmonize the implementation of the infrastructure projects; and</w:t>
      </w:r>
    </w:p>
    <w:p w14:paraId="68AC398D" w14:textId="77777777" w:rsidR="00787C4B" w:rsidRPr="008701DB" w:rsidRDefault="00787C4B" w:rsidP="00787C4B">
      <w:pPr>
        <w:ind w:left="1080"/>
        <w:contextualSpacing/>
        <w:jc w:val="both"/>
      </w:pPr>
    </w:p>
    <w:p w14:paraId="46B04AB6" w14:textId="4DF63589" w:rsidR="00E13AA1" w:rsidRPr="008701DB" w:rsidRDefault="00787C4B" w:rsidP="00787C4B">
      <w:pPr>
        <w:numPr>
          <w:ilvl w:val="0"/>
          <w:numId w:val="29"/>
        </w:numPr>
        <w:contextualSpacing/>
        <w:jc w:val="both"/>
      </w:pPr>
      <w:r w:rsidRPr="008701DB">
        <w:lastRenderedPageBreak/>
        <w:t xml:space="preserve">Conduct a comprehensive assessment of the </w:t>
      </w:r>
      <w:r w:rsidR="00D24AA1" w:rsidRPr="008701DB">
        <w:t>Provincial Engineering Office (PEO)</w:t>
      </w:r>
      <w:r w:rsidRPr="008701DB">
        <w:t>'s staffing requirements, taking into consideration the workload, especially the tasks related to monitoring.</w:t>
      </w:r>
    </w:p>
    <w:p w14:paraId="1F48413C" w14:textId="77777777" w:rsidR="000A4B59" w:rsidRPr="008701DB" w:rsidRDefault="000A4B59" w:rsidP="000A4B59">
      <w:pPr>
        <w:pStyle w:val="ListParagraph"/>
        <w:rPr>
          <w:rFonts w:ascii="Times New Roman" w:hAnsi="Times New Roman"/>
          <w:sz w:val="24"/>
          <w:szCs w:val="24"/>
        </w:rPr>
      </w:pPr>
    </w:p>
    <w:p w14:paraId="384C289D" w14:textId="6858FF34" w:rsidR="000A4B59" w:rsidRPr="008701DB" w:rsidRDefault="00E1637E" w:rsidP="00B60EC5">
      <w:pPr>
        <w:pStyle w:val="ListParagraph"/>
        <w:numPr>
          <w:ilvl w:val="0"/>
          <w:numId w:val="34"/>
        </w:numPr>
        <w:jc w:val="both"/>
        <w:rPr>
          <w:rFonts w:ascii="Times New Roman" w:hAnsi="Times New Roman"/>
          <w:sz w:val="24"/>
          <w:szCs w:val="24"/>
        </w:rPr>
      </w:pPr>
      <w:r w:rsidRPr="008701DB">
        <w:rPr>
          <w:rFonts w:ascii="Times New Roman" w:hAnsi="Times New Roman"/>
          <w:sz w:val="24"/>
          <w:szCs w:val="24"/>
        </w:rPr>
        <w:t xml:space="preserve">The PGLU only utilized 51% or ₱178,779,497.91 out of the total 20% </w:t>
      </w:r>
      <w:r w:rsidR="00D24AA1" w:rsidRPr="008701DB">
        <w:rPr>
          <w:rFonts w:ascii="Times New Roman" w:hAnsi="Times New Roman"/>
          <w:sz w:val="24"/>
          <w:szCs w:val="24"/>
        </w:rPr>
        <w:t>Development Fund (</w:t>
      </w:r>
      <w:r w:rsidRPr="008701DB">
        <w:rPr>
          <w:rFonts w:ascii="Times New Roman" w:hAnsi="Times New Roman"/>
          <w:sz w:val="24"/>
          <w:szCs w:val="24"/>
        </w:rPr>
        <w:t>DF</w:t>
      </w:r>
      <w:r w:rsidR="00D24AA1" w:rsidRPr="008701DB">
        <w:rPr>
          <w:rFonts w:ascii="Times New Roman" w:hAnsi="Times New Roman"/>
          <w:sz w:val="24"/>
          <w:szCs w:val="24"/>
        </w:rPr>
        <w:t>)</w:t>
      </w:r>
      <w:r w:rsidRPr="008701DB">
        <w:rPr>
          <w:rFonts w:ascii="Times New Roman" w:hAnsi="Times New Roman"/>
          <w:sz w:val="24"/>
          <w:szCs w:val="24"/>
        </w:rPr>
        <w:t xml:space="preserve"> current year budget amounting to ₱350,071,598.00 due to weak linkage between the planning and the budgeting; and inclusion of </w:t>
      </w:r>
      <w:r w:rsidR="00061CD4" w:rsidRPr="008701DB">
        <w:rPr>
          <w:rFonts w:ascii="Times New Roman" w:hAnsi="Times New Roman"/>
          <w:sz w:val="24"/>
          <w:szCs w:val="24"/>
        </w:rPr>
        <w:t>PPAs</w:t>
      </w:r>
      <w:r w:rsidRPr="008701DB">
        <w:rPr>
          <w:rFonts w:ascii="Times New Roman" w:hAnsi="Times New Roman"/>
          <w:sz w:val="24"/>
          <w:szCs w:val="24"/>
        </w:rPr>
        <w:t xml:space="preserve"> that are not well-planned and procurement-and-implementation-ready contrary to the Section 3.2.1 and 3.2.3 of  the Department of Budget and Management (DBM) – Department of Finance (DOF) – Department of the Interior and Local Government (DILG) Joint Memorandum Circular (JMC) No. 2020-001 and Budget Operations Manual (BOM), thus, the development needs of constituents were not satisfied in the most timely, effective and efficient manner.</w:t>
      </w:r>
      <w:r w:rsidR="000A4B59" w:rsidRPr="008701DB">
        <w:rPr>
          <w:rFonts w:ascii="Times New Roman" w:hAnsi="Times New Roman"/>
          <w:sz w:val="24"/>
          <w:szCs w:val="24"/>
        </w:rPr>
        <w:t xml:space="preserve"> </w:t>
      </w:r>
    </w:p>
    <w:p w14:paraId="5CBEE700" w14:textId="77777777" w:rsidR="000A4B59" w:rsidRPr="008701DB" w:rsidRDefault="000A4B59" w:rsidP="000A4B59">
      <w:pPr>
        <w:pStyle w:val="ListParagraph"/>
        <w:jc w:val="both"/>
        <w:rPr>
          <w:rFonts w:ascii="Times New Roman" w:hAnsi="Times New Roman"/>
          <w:sz w:val="24"/>
        </w:rPr>
      </w:pPr>
    </w:p>
    <w:p w14:paraId="55A9B780" w14:textId="77777777" w:rsidR="00E1637E" w:rsidRPr="008701DB" w:rsidRDefault="00E1637E" w:rsidP="00E1637E">
      <w:pPr>
        <w:ind w:firstLine="720"/>
        <w:contextualSpacing/>
        <w:jc w:val="both"/>
        <w:rPr>
          <w:rFonts w:eastAsia="Calibri"/>
          <w:szCs w:val="22"/>
        </w:rPr>
      </w:pPr>
      <w:r w:rsidRPr="008701DB">
        <w:rPr>
          <w:rFonts w:eastAsia="Calibri"/>
          <w:szCs w:val="22"/>
        </w:rPr>
        <w:t>We recommended that the Provincial Governor direct the:</w:t>
      </w:r>
    </w:p>
    <w:p w14:paraId="6AF19492" w14:textId="77777777" w:rsidR="00E1637E" w:rsidRPr="008701DB" w:rsidRDefault="00E1637E" w:rsidP="00E1637E">
      <w:pPr>
        <w:jc w:val="both"/>
        <w:rPr>
          <w:rFonts w:eastAsia="Calibri"/>
          <w:szCs w:val="22"/>
        </w:rPr>
      </w:pPr>
    </w:p>
    <w:p w14:paraId="50DD9488" w14:textId="77777777" w:rsidR="00E1637E" w:rsidRPr="008701DB" w:rsidRDefault="00E1637E" w:rsidP="00E1637E">
      <w:pPr>
        <w:numPr>
          <w:ilvl w:val="0"/>
          <w:numId w:val="30"/>
        </w:numPr>
        <w:contextualSpacing/>
        <w:jc w:val="both"/>
        <w:rPr>
          <w:rFonts w:eastAsia="Calibri"/>
          <w:szCs w:val="22"/>
        </w:rPr>
      </w:pPr>
      <w:r w:rsidRPr="008701DB">
        <w:rPr>
          <w:rFonts w:eastAsia="Calibri"/>
          <w:szCs w:val="22"/>
        </w:rPr>
        <w:t xml:space="preserve">Department heads of the implementing offices: </w:t>
      </w:r>
    </w:p>
    <w:p w14:paraId="5F980A09" w14:textId="77777777" w:rsidR="00E1637E" w:rsidRPr="008701DB" w:rsidRDefault="00E1637E" w:rsidP="00E1637E">
      <w:pPr>
        <w:jc w:val="both"/>
        <w:rPr>
          <w:rFonts w:eastAsia="Calibri"/>
        </w:rPr>
      </w:pPr>
    </w:p>
    <w:p w14:paraId="66C5D2EF" w14:textId="77777777" w:rsidR="00E1637E" w:rsidRPr="008701DB" w:rsidRDefault="00E1637E" w:rsidP="00E1637E">
      <w:pPr>
        <w:pStyle w:val="ListParagraph"/>
        <w:numPr>
          <w:ilvl w:val="0"/>
          <w:numId w:val="31"/>
        </w:numPr>
        <w:ind w:left="1418"/>
        <w:jc w:val="both"/>
        <w:rPr>
          <w:rFonts w:ascii="Times New Roman" w:hAnsi="Times New Roman"/>
          <w:sz w:val="24"/>
          <w:szCs w:val="24"/>
        </w:rPr>
      </w:pPr>
      <w:r w:rsidRPr="008701DB">
        <w:rPr>
          <w:rFonts w:ascii="Times New Roman" w:hAnsi="Times New Roman"/>
          <w:sz w:val="24"/>
          <w:szCs w:val="24"/>
        </w:rPr>
        <w:t>With the coordination of the Provincial Engineer, to assure that their proposed 20% DF PPAs had undergone thorough planning and detailed engineering;</w:t>
      </w:r>
    </w:p>
    <w:p w14:paraId="4E3A0898" w14:textId="77777777" w:rsidR="00E1637E" w:rsidRPr="008701DB" w:rsidRDefault="00E1637E" w:rsidP="00E1637E">
      <w:pPr>
        <w:jc w:val="both"/>
        <w:rPr>
          <w:rFonts w:eastAsia="Calibri"/>
        </w:rPr>
      </w:pPr>
    </w:p>
    <w:p w14:paraId="23688D08" w14:textId="77777777" w:rsidR="00E1637E" w:rsidRPr="008701DB" w:rsidRDefault="00E1637E" w:rsidP="00E1637E">
      <w:pPr>
        <w:pStyle w:val="ListParagraph"/>
        <w:numPr>
          <w:ilvl w:val="0"/>
          <w:numId w:val="31"/>
        </w:numPr>
        <w:ind w:left="1418"/>
        <w:jc w:val="both"/>
        <w:rPr>
          <w:rFonts w:ascii="Times New Roman" w:hAnsi="Times New Roman"/>
          <w:sz w:val="24"/>
          <w:szCs w:val="24"/>
        </w:rPr>
      </w:pPr>
      <w:r w:rsidRPr="008701DB">
        <w:rPr>
          <w:rFonts w:ascii="Times New Roman" w:hAnsi="Times New Roman"/>
          <w:sz w:val="24"/>
          <w:szCs w:val="24"/>
        </w:rPr>
        <w:t>Discontinue incorporating PPAs that functioned like a contingency fund in the list of their proposed 20% DF PPAs;</w:t>
      </w:r>
    </w:p>
    <w:p w14:paraId="7CF72F43" w14:textId="77777777" w:rsidR="00E1637E" w:rsidRPr="008701DB" w:rsidRDefault="00E1637E" w:rsidP="00E1637E">
      <w:pPr>
        <w:pStyle w:val="ListParagraph"/>
        <w:ind w:left="1418"/>
        <w:jc w:val="both"/>
        <w:rPr>
          <w:rFonts w:ascii="Times New Roman" w:hAnsi="Times New Roman"/>
          <w:sz w:val="24"/>
          <w:szCs w:val="24"/>
        </w:rPr>
      </w:pPr>
    </w:p>
    <w:p w14:paraId="31DD28DC" w14:textId="77777777" w:rsidR="00E1637E" w:rsidRPr="008701DB" w:rsidRDefault="00E1637E" w:rsidP="00E1637E">
      <w:pPr>
        <w:pStyle w:val="ListParagraph"/>
        <w:numPr>
          <w:ilvl w:val="0"/>
          <w:numId w:val="31"/>
        </w:numPr>
        <w:ind w:left="1418"/>
        <w:jc w:val="both"/>
        <w:rPr>
          <w:rFonts w:ascii="Times New Roman" w:hAnsi="Times New Roman"/>
          <w:sz w:val="24"/>
          <w:szCs w:val="24"/>
        </w:rPr>
      </w:pPr>
      <w:r w:rsidRPr="008701DB">
        <w:rPr>
          <w:rFonts w:ascii="Times New Roman" w:hAnsi="Times New Roman"/>
          <w:sz w:val="24"/>
          <w:szCs w:val="24"/>
        </w:rPr>
        <w:t xml:space="preserve">Identify specifically the description of their proposed PPAs, including their complete title and location; </w:t>
      </w:r>
    </w:p>
    <w:p w14:paraId="0C753BCB" w14:textId="77777777" w:rsidR="00E1637E" w:rsidRPr="008701DB" w:rsidRDefault="00E1637E" w:rsidP="00E1637E">
      <w:pPr>
        <w:pStyle w:val="ListParagraph"/>
        <w:ind w:left="1418"/>
        <w:jc w:val="both"/>
        <w:rPr>
          <w:rFonts w:ascii="Times New Roman" w:hAnsi="Times New Roman"/>
          <w:sz w:val="24"/>
          <w:szCs w:val="24"/>
        </w:rPr>
      </w:pPr>
    </w:p>
    <w:p w14:paraId="0883933F" w14:textId="77777777" w:rsidR="00E1637E" w:rsidRPr="008701DB" w:rsidRDefault="00E1637E" w:rsidP="00E1637E">
      <w:pPr>
        <w:pStyle w:val="ListParagraph"/>
        <w:numPr>
          <w:ilvl w:val="0"/>
          <w:numId w:val="31"/>
        </w:numPr>
        <w:ind w:left="1418"/>
        <w:jc w:val="both"/>
        <w:rPr>
          <w:rFonts w:ascii="Times New Roman" w:hAnsi="Times New Roman"/>
          <w:sz w:val="24"/>
          <w:szCs w:val="24"/>
        </w:rPr>
      </w:pPr>
      <w:r w:rsidRPr="008701DB">
        <w:rPr>
          <w:rFonts w:ascii="Times New Roman" w:hAnsi="Times New Roman"/>
          <w:sz w:val="24"/>
          <w:szCs w:val="24"/>
        </w:rPr>
        <w:t>Consider PPAs that do not involve any third-party counterparts as their proposed 20% DF PPAs. Otherwise, strictly monitor the timing of the implementation of the counterpart to avoid delay or reprogramming, and</w:t>
      </w:r>
    </w:p>
    <w:p w14:paraId="3AB489B7" w14:textId="77777777" w:rsidR="00E1637E" w:rsidRPr="008701DB" w:rsidRDefault="00E1637E" w:rsidP="00E1637E">
      <w:pPr>
        <w:pStyle w:val="ListParagraph"/>
        <w:ind w:left="1418"/>
        <w:jc w:val="both"/>
        <w:rPr>
          <w:rFonts w:ascii="Times New Roman" w:hAnsi="Times New Roman"/>
          <w:sz w:val="24"/>
          <w:szCs w:val="24"/>
        </w:rPr>
      </w:pPr>
    </w:p>
    <w:p w14:paraId="3B14034E" w14:textId="2828C1E4" w:rsidR="00E1637E" w:rsidRPr="008701DB" w:rsidRDefault="00E1637E" w:rsidP="00E1637E">
      <w:pPr>
        <w:pStyle w:val="ListParagraph"/>
        <w:numPr>
          <w:ilvl w:val="0"/>
          <w:numId w:val="31"/>
        </w:numPr>
        <w:ind w:left="1418"/>
        <w:jc w:val="both"/>
        <w:rPr>
          <w:rFonts w:ascii="Times New Roman" w:hAnsi="Times New Roman"/>
          <w:sz w:val="24"/>
          <w:szCs w:val="24"/>
        </w:rPr>
      </w:pPr>
      <w:r w:rsidRPr="008701DB">
        <w:rPr>
          <w:rFonts w:ascii="Times New Roman" w:hAnsi="Times New Roman"/>
          <w:sz w:val="24"/>
          <w:szCs w:val="24"/>
        </w:rPr>
        <w:t>Inform the Provincial Development Council</w:t>
      </w:r>
      <w:r w:rsidR="009064B4" w:rsidRPr="008701DB">
        <w:rPr>
          <w:rFonts w:ascii="Times New Roman" w:hAnsi="Times New Roman"/>
          <w:sz w:val="24"/>
          <w:szCs w:val="24"/>
        </w:rPr>
        <w:t xml:space="preserve"> (PDC)</w:t>
      </w:r>
      <w:r w:rsidRPr="008701DB">
        <w:rPr>
          <w:rFonts w:ascii="Times New Roman" w:hAnsi="Times New Roman"/>
          <w:sz w:val="24"/>
          <w:szCs w:val="24"/>
        </w:rPr>
        <w:t xml:space="preserve"> immediately if the full implementation of their 20% DF PPAs within the current year is not feasible.</w:t>
      </w:r>
    </w:p>
    <w:p w14:paraId="09CF884D" w14:textId="77777777" w:rsidR="00E1637E" w:rsidRPr="008701DB" w:rsidRDefault="00E1637E" w:rsidP="00B60EC5">
      <w:pPr>
        <w:jc w:val="both"/>
        <w:rPr>
          <w:rFonts w:eastAsia="Calibri"/>
        </w:rPr>
      </w:pPr>
    </w:p>
    <w:p w14:paraId="506D79C7" w14:textId="36A11071" w:rsidR="00B60EC5" w:rsidRPr="008701DB" w:rsidRDefault="00B60EC5" w:rsidP="00E1637E">
      <w:pPr>
        <w:pStyle w:val="ListParagraph"/>
        <w:numPr>
          <w:ilvl w:val="0"/>
          <w:numId w:val="30"/>
        </w:numPr>
        <w:jc w:val="both"/>
        <w:rPr>
          <w:rFonts w:ascii="Times New Roman" w:hAnsi="Times New Roman"/>
          <w:sz w:val="24"/>
          <w:szCs w:val="24"/>
        </w:rPr>
      </w:pPr>
      <w:r w:rsidRPr="008701DB">
        <w:rPr>
          <w:rFonts w:ascii="Times New Roman" w:hAnsi="Times New Roman"/>
          <w:sz w:val="24"/>
          <w:szCs w:val="24"/>
        </w:rPr>
        <w:t xml:space="preserve">Provincial Planning and Development </w:t>
      </w:r>
      <w:r w:rsidR="009064B4" w:rsidRPr="008701DB">
        <w:rPr>
          <w:rFonts w:ascii="Times New Roman" w:hAnsi="Times New Roman"/>
          <w:sz w:val="24"/>
          <w:szCs w:val="24"/>
        </w:rPr>
        <w:t>Coordinator (PPDC)</w:t>
      </w:r>
      <w:r w:rsidRPr="008701DB">
        <w:rPr>
          <w:rFonts w:ascii="Times New Roman" w:hAnsi="Times New Roman"/>
          <w:sz w:val="24"/>
          <w:szCs w:val="24"/>
        </w:rPr>
        <w:t xml:space="preserve"> to verify the procurement-and-implementation readiness of the proposed 20% DF PPAs and to continue the strict monitoring and evaluation of the implementation of the 20% DF PPAs; and</w:t>
      </w:r>
    </w:p>
    <w:p w14:paraId="0EFBC02C" w14:textId="77777777" w:rsidR="00B60EC5" w:rsidRPr="008701DB" w:rsidRDefault="00B60EC5" w:rsidP="00B60EC5">
      <w:pPr>
        <w:pStyle w:val="ListParagraph"/>
        <w:ind w:left="1080"/>
        <w:jc w:val="both"/>
        <w:rPr>
          <w:rFonts w:ascii="Times New Roman" w:hAnsi="Times New Roman"/>
          <w:sz w:val="24"/>
          <w:szCs w:val="24"/>
        </w:rPr>
      </w:pPr>
    </w:p>
    <w:p w14:paraId="5E1C979C" w14:textId="5B3EC5FB" w:rsidR="00E1637E" w:rsidRPr="008701DB" w:rsidRDefault="00B60EC5" w:rsidP="00E1637E">
      <w:pPr>
        <w:pStyle w:val="ListParagraph"/>
        <w:numPr>
          <w:ilvl w:val="0"/>
          <w:numId w:val="30"/>
        </w:numPr>
        <w:jc w:val="both"/>
        <w:rPr>
          <w:rFonts w:ascii="Times New Roman" w:hAnsi="Times New Roman"/>
          <w:sz w:val="24"/>
          <w:szCs w:val="24"/>
        </w:rPr>
      </w:pPr>
      <w:r w:rsidRPr="008701DB">
        <w:rPr>
          <w:rFonts w:ascii="Times New Roman" w:hAnsi="Times New Roman"/>
          <w:sz w:val="24"/>
          <w:szCs w:val="24"/>
        </w:rPr>
        <w:t>Provincial Budget Officer</w:t>
      </w:r>
      <w:r w:rsidR="009064B4" w:rsidRPr="008701DB">
        <w:rPr>
          <w:rFonts w:ascii="Times New Roman" w:hAnsi="Times New Roman"/>
          <w:sz w:val="24"/>
          <w:szCs w:val="24"/>
        </w:rPr>
        <w:t xml:space="preserve"> (PBO)</w:t>
      </w:r>
      <w:r w:rsidRPr="008701DB">
        <w:rPr>
          <w:rFonts w:ascii="Times New Roman" w:hAnsi="Times New Roman"/>
          <w:sz w:val="24"/>
          <w:szCs w:val="24"/>
        </w:rPr>
        <w:t xml:space="preserve"> to ensure that PPAs budgeted are consistent with those programmed in the </w:t>
      </w:r>
      <w:r w:rsidR="00EB1024" w:rsidRPr="008701DB">
        <w:rPr>
          <w:rFonts w:ascii="Times New Roman" w:hAnsi="Times New Roman"/>
          <w:sz w:val="24"/>
          <w:szCs w:val="24"/>
        </w:rPr>
        <w:t>Annual Investment Program (</w:t>
      </w:r>
      <w:r w:rsidRPr="008701DB">
        <w:rPr>
          <w:rFonts w:ascii="Times New Roman" w:hAnsi="Times New Roman"/>
          <w:sz w:val="24"/>
          <w:szCs w:val="24"/>
        </w:rPr>
        <w:t>AIP</w:t>
      </w:r>
      <w:r w:rsidR="00EB1024" w:rsidRPr="008701DB">
        <w:rPr>
          <w:rFonts w:ascii="Times New Roman" w:hAnsi="Times New Roman"/>
          <w:sz w:val="24"/>
          <w:szCs w:val="24"/>
        </w:rPr>
        <w:t>)</w:t>
      </w:r>
      <w:r w:rsidRPr="008701DB">
        <w:rPr>
          <w:rFonts w:ascii="Times New Roman" w:hAnsi="Times New Roman"/>
          <w:sz w:val="24"/>
          <w:szCs w:val="24"/>
        </w:rPr>
        <w:t xml:space="preserve"> including the sources of fund. If there are discrepancies noted, promptly coordinate with the PPDC to ensure proper linkage between planning and budgeting.</w:t>
      </w:r>
    </w:p>
    <w:p w14:paraId="305E8C03" w14:textId="77777777" w:rsidR="00B60EC5" w:rsidRPr="00B60EC5" w:rsidRDefault="00B60EC5" w:rsidP="00B60EC5">
      <w:pPr>
        <w:jc w:val="both"/>
      </w:pPr>
    </w:p>
    <w:p w14:paraId="03062EEC" w14:textId="551B253F" w:rsidR="00770159" w:rsidRPr="00E1637E" w:rsidRDefault="00D7523F" w:rsidP="00D7523F">
      <w:pPr>
        <w:ind w:left="360" w:firstLine="720"/>
        <w:jc w:val="both"/>
      </w:pPr>
      <w:r w:rsidRPr="00E1637E">
        <w:lastRenderedPageBreak/>
        <w:t xml:space="preserve">The </w:t>
      </w:r>
      <w:r w:rsidR="00DD519C" w:rsidRPr="00E1637E">
        <w:t>a</w:t>
      </w:r>
      <w:r w:rsidRPr="00E1637E">
        <w:t xml:space="preserve">udit </w:t>
      </w:r>
      <w:r w:rsidR="00DD519C" w:rsidRPr="00E1637E">
        <w:t>t</w:t>
      </w:r>
      <w:r w:rsidRPr="00E1637E">
        <w:t>eam ha</w:t>
      </w:r>
      <w:r w:rsidR="001C65FD" w:rsidRPr="00E1637E">
        <w:t>d</w:t>
      </w:r>
      <w:r w:rsidRPr="00E1637E">
        <w:t xml:space="preserve"> discussed the observations and recommendations with the PGLU and comments were incorporated in the report where appropriate. </w:t>
      </w:r>
      <w:r w:rsidR="00343A91" w:rsidRPr="00E1637E">
        <w:t>The e</w:t>
      </w:r>
      <w:r w:rsidR="00770159" w:rsidRPr="00E1637E">
        <w:t xml:space="preserve">xit conference was conducted on </w:t>
      </w:r>
      <w:r w:rsidR="00827BFC" w:rsidRPr="00E1637E">
        <w:t>May 2</w:t>
      </w:r>
      <w:r w:rsidR="00E1637E" w:rsidRPr="00E1637E">
        <w:t>0</w:t>
      </w:r>
      <w:r w:rsidR="00827BFC" w:rsidRPr="00E1637E">
        <w:t>, 202</w:t>
      </w:r>
      <w:r w:rsidR="00E1637E" w:rsidRPr="00E1637E">
        <w:t>4</w:t>
      </w:r>
      <w:r w:rsidR="00770159" w:rsidRPr="00E1637E">
        <w:t>.</w:t>
      </w:r>
    </w:p>
    <w:p w14:paraId="17A6812A" w14:textId="77777777" w:rsidR="00B60EC5" w:rsidRPr="00EB1024" w:rsidRDefault="00B60EC5" w:rsidP="00EB1024">
      <w:pPr>
        <w:rPr>
          <w:b/>
        </w:rPr>
      </w:pPr>
    </w:p>
    <w:p w14:paraId="01C13835" w14:textId="77777777" w:rsidR="00B60EC5" w:rsidRPr="00E1637E" w:rsidRDefault="00B60EC5" w:rsidP="004475C0">
      <w:pPr>
        <w:pStyle w:val="ListParagraph"/>
        <w:rPr>
          <w:rFonts w:ascii="Times New Roman" w:hAnsi="Times New Roman"/>
          <w:b/>
          <w:sz w:val="24"/>
          <w:szCs w:val="24"/>
        </w:rPr>
      </w:pPr>
    </w:p>
    <w:p w14:paraId="774B2A3C" w14:textId="37BC8C6C" w:rsidR="00560E17" w:rsidRPr="00E1637E" w:rsidRDefault="00C61EA1" w:rsidP="00245ACA">
      <w:pPr>
        <w:ind w:left="360" w:hanging="360"/>
        <w:jc w:val="both"/>
        <w:rPr>
          <w:b/>
        </w:rPr>
      </w:pPr>
      <w:r w:rsidRPr="00E1637E">
        <w:rPr>
          <w:b/>
        </w:rPr>
        <w:t xml:space="preserve">G.  </w:t>
      </w:r>
      <w:r w:rsidR="00245ACA" w:rsidRPr="00E1637E">
        <w:rPr>
          <w:b/>
        </w:rPr>
        <w:t xml:space="preserve">Status of Implementation of Prior Years’ Audit Recommendations </w:t>
      </w:r>
    </w:p>
    <w:p w14:paraId="75237669" w14:textId="6C82898F" w:rsidR="00AA45FE" w:rsidRPr="00E1637E" w:rsidRDefault="00AA45FE" w:rsidP="00560E17">
      <w:pPr>
        <w:ind w:left="360" w:hanging="360"/>
        <w:jc w:val="both"/>
        <w:rPr>
          <w:b/>
        </w:rPr>
      </w:pPr>
    </w:p>
    <w:p w14:paraId="66E4370C" w14:textId="7282F725" w:rsidR="00AA45FE" w:rsidRDefault="00AA45FE" w:rsidP="00DA45BD">
      <w:pPr>
        <w:ind w:left="360" w:firstLine="774"/>
        <w:jc w:val="both"/>
      </w:pPr>
      <w:r w:rsidRPr="004612E2">
        <w:t>Of the</w:t>
      </w:r>
      <w:r w:rsidR="003B6977" w:rsidRPr="004612E2">
        <w:t xml:space="preserve"> </w:t>
      </w:r>
      <w:r w:rsidR="00C75862" w:rsidRPr="004612E2">
        <w:t>11</w:t>
      </w:r>
      <w:r w:rsidR="00E1637E" w:rsidRPr="004612E2">
        <w:t>8</w:t>
      </w:r>
      <w:r w:rsidR="00C75862" w:rsidRPr="004612E2">
        <w:t xml:space="preserve"> </w:t>
      </w:r>
      <w:r w:rsidRPr="004612E2">
        <w:t xml:space="preserve">prior years’ audit recommendations, </w:t>
      </w:r>
      <w:r w:rsidR="00E1637E" w:rsidRPr="004612E2">
        <w:t>4</w:t>
      </w:r>
      <w:r w:rsidR="00680C2E">
        <w:t>3</w:t>
      </w:r>
      <w:r w:rsidR="004612E2" w:rsidRPr="004612E2">
        <w:t xml:space="preserve"> </w:t>
      </w:r>
      <w:r w:rsidRPr="004612E2">
        <w:t xml:space="preserve">were fully implemented and </w:t>
      </w:r>
      <w:r w:rsidR="00E1637E" w:rsidRPr="004612E2">
        <w:t>7</w:t>
      </w:r>
      <w:r w:rsidR="00680C2E">
        <w:t>5</w:t>
      </w:r>
      <w:r w:rsidRPr="004612E2">
        <w:t xml:space="preserve"> were not implemented</w:t>
      </w:r>
      <w:r w:rsidR="002452F8" w:rsidRPr="004612E2">
        <w:t>, of which</w:t>
      </w:r>
      <w:r w:rsidR="00897B05" w:rsidRPr="004612E2">
        <w:t>,</w:t>
      </w:r>
      <w:r w:rsidR="00B533F3" w:rsidRPr="004612E2">
        <w:t xml:space="preserve"> </w:t>
      </w:r>
      <w:r w:rsidR="00E1637E" w:rsidRPr="004612E2">
        <w:t>1</w:t>
      </w:r>
      <w:r w:rsidR="00680C2E">
        <w:t>6</w:t>
      </w:r>
      <w:r w:rsidR="002452F8" w:rsidRPr="004612E2">
        <w:t xml:space="preserve"> </w:t>
      </w:r>
      <w:r w:rsidR="00E701BE" w:rsidRPr="004612E2">
        <w:t>we</w:t>
      </w:r>
      <w:r w:rsidR="002452F8" w:rsidRPr="004612E2">
        <w:t>re reiterated in Part II of this Annual Audit Report (AAR)</w:t>
      </w:r>
      <w:r w:rsidR="00676E7A">
        <w:t xml:space="preserve"> as follows:</w:t>
      </w:r>
    </w:p>
    <w:p w14:paraId="0FEBE5C8" w14:textId="77777777" w:rsidR="00676E7A" w:rsidRDefault="00676E7A" w:rsidP="00DA45BD">
      <w:pPr>
        <w:ind w:left="360" w:firstLine="774"/>
        <w:jc w:val="both"/>
      </w:pPr>
    </w:p>
    <w:tbl>
      <w:tblPr>
        <w:tblW w:w="48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79"/>
        <w:gridCol w:w="1636"/>
      </w:tblGrid>
      <w:tr w:rsidR="00676E7A" w14:paraId="0B9B0D4C" w14:textId="77777777" w:rsidTr="008B1D74">
        <w:trPr>
          <w:jc w:val="center"/>
        </w:trPr>
        <w:tc>
          <w:tcPr>
            <w:tcW w:w="3179" w:type="dxa"/>
            <w:shd w:val="clear" w:color="auto" w:fill="auto"/>
          </w:tcPr>
          <w:p w14:paraId="03A12C9F" w14:textId="77777777" w:rsidR="00676E7A" w:rsidRDefault="00676E7A" w:rsidP="008B1D74">
            <w:pPr>
              <w:tabs>
                <w:tab w:val="left" w:pos="882"/>
              </w:tabs>
              <w:rPr>
                <w:b/>
              </w:rPr>
            </w:pPr>
            <w:r>
              <w:rPr>
                <w:b/>
              </w:rPr>
              <w:t>Status of Implementation</w:t>
            </w:r>
          </w:p>
        </w:tc>
        <w:tc>
          <w:tcPr>
            <w:tcW w:w="1636" w:type="dxa"/>
            <w:shd w:val="clear" w:color="auto" w:fill="auto"/>
          </w:tcPr>
          <w:p w14:paraId="5939706E" w14:textId="77777777" w:rsidR="00676E7A" w:rsidRDefault="00676E7A" w:rsidP="008B1D74">
            <w:pPr>
              <w:tabs>
                <w:tab w:val="left" w:pos="882"/>
              </w:tabs>
              <w:jc w:val="center"/>
              <w:rPr>
                <w:b/>
              </w:rPr>
            </w:pPr>
            <w:r>
              <w:rPr>
                <w:b/>
              </w:rPr>
              <w:t>Quantity</w:t>
            </w:r>
          </w:p>
        </w:tc>
      </w:tr>
      <w:tr w:rsidR="00676E7A" w14:paraId="5A82D4E1" w14:textId="77777777" w:rsidTr="008B1D74">
        <w:trPr>
          <w:jc w:val="center"/>
        </w:trPr>
        <w:tc>
          <w:tcPr>
            <w:tcW w:w="3179" w:type="dxa"/>
            <w:shd w:val="clear" w:color="auto" w:fill="auto"/>
          </w:tcPr>
          <w:p w14:paraId="5659CE36" w14:textId="77777777" w:rsidR="00676E7A" w:rsidRDefault="00676E7A" w:rsidP="008B1D74">
            <w:pPr>
              <w:tabs>
                <w:tab w:val="left" w:pos="882"/>
              </w:tabs>
            </w:pPr>
            <w:r>
              <w:t>Fully Implemented</w:t>
            </w:r>
          </w:p>
        </w:tc>
        <w:tc>
          <w:tcPr>
            <w:tcW w:w="1636" w:type="dxa"/>
            <w:shd w:val="clear" w:color="auto" w:fill="auto"/>
          </w:tcPr>
          <w:p w14:paraId="4E48D0E6" w14:textId="12150C50" w:rsidR="00676E7A" w:rsidRDefault="00676E7A" w:rsidP="008B1D74">
            <w:pPr>
              <w:tabs>
                <w:tab w:val="left" w:pos="882"/>
              </w:tabs>
              <w:jc w:val="center"/>
            </w:pPr>
            <w:r>
              <w:t>4</w:t>
            </w:r>
            <w:r w:rsidR="00680C2E">
              <w:t>3</w:t>
            </w:r>
          </w:p>
        </w:tc>
      </w:tr>
      <w:tr w:rsidR="00676E7A" w14:paraId="364938B6" w14:textId="77777777" w:rsidTr="008B1D74">
        <w:trPr>
          <w:jc w:val="center"/>
        </w:trPr>
        <w:tc>
          <w:tcPr>
            <w:tcW w:w="3179" w:type="dxa"/>
            <w:shd w:val="clear" w:color="auto" w:fill="auto"/>
          </w:tcPr>
          <w:p w14:paraId="682DA6F5" w14:textId="77777777" w:rsidR="00676E7A" w:rsidRDefault="00676E7A" w:rsidP="008B1D74">
            <w:pPr>
              <w:tabs>
                <w:tab w:val="left" w:pos="882"/>
              </w:tabs>
            </w:pPr>
            <w:r>
              <w:t>Not Implemented</w:t>
            </w:r>
          </w:p>
        </w:tc>
        <w:tc>
          <w:tcPr>
            <w:tcW w:w="1636" w:type="dxa"/>
            <w:shd w:val="clear" w:color="auto" w:fill="auto"/>
          </w:tcPr>
          <w:p w14:paraId="3A6B026F" w14:textId="5147D184" w:rsidR="00676E7A" w:rsidRDefault="00676E7A" w:rsidP="008B1D74">
            <w:pPr>
              <w:tabs>
                <w:tab w:val="left" w:pos="882"/>
              </w:tabs>
              <w:jc w:val="center"/>
            </w:pPr>
            <w:r>
              <w:t>7</w:t>
            </w:r>
            <w:r w:rsidR="00680C2E">
              <w:t>5</w:t>
            </w:r>
          </w:p>
        </w:tc>
      </w:tr>
      <w:tr w:rsidR="00676E7A" w14:paraId="24ACC151" w14:textId="77777777" w:rsidTr="008B1D74">
        <w:trPr>
          <w:jc w:val="center"/>
        </w:trPr>
        <w:tc>
          <w:tcPr>
            <w:tcW w:w="3179" w:type="dxa"/>
            <w:shd w:val="clear" w:color="auto" w:fill="auto"/>
          </w:tcPr>
          <w:p w14:paraId="32117689" w14:textId="77777777" w:rsidR="00676E7A" w:rsidRDefault="00676E7A" w:rsidP="008B1D74">
            <w:pPr>
              <w:tabs>
                <w:tab w:val="left" w:pos="882"/>
              </w:tabs>
              <w:rPr>
                <w:b/>
              </w:rPr>
            </w:pPr>
            <w:r>
              <w:rPr>
                <w:b/>
              </w:rPr>
              <w:t>Total</w:t>
            </w:r>
          </w:p>
        </w:tc>
        <w:tc>
          <w:tcPr>
            <w:tcW w:w="1636" w:type="dxa"/>
            <w:shd w:val="clear" w:color="auto" w:fill="auto"/>
          </w:tcPr>
          <w:p w14:paraId="62FD2622" w14:textId="6EF3BA73" w:rsidR="00676E7A" w:rsidRDefault="00676E7A" w:rsidP="008B1D74">
            <w:pPr>
              <w:tabs>
                <w:tab w:val="left" w:pos="882"/>
              </w:tabs>
              <w:jc w:val="center"/>
              <w:rPr>
                <w:b/>
              </w:rPr>
            </w:pPr>
            <w:r>
              <w:rPr>
                <w:b/>
              </w:rPr>
              <w:t>118</w:t>
            </w:r>
          </w:p>
        </w:tc>
      </w:tr>
    </w:tbl>
    <w:p w14:paraId="557B8F54" w14:textId="77777777" w:rsidR="00676E7A" w:rsidRPr="004612E2" w:rsidRDefault="00676E7A" w:rsidP="00DA45BD">
      <w:pPr>
        <w:ind w:left="360" w:firstLine="774"/>
        <w:jc w:val="both"/>
      </w:pPr>
    </w:p>
    <w:p w14:paraId="41A63D83" w14:textId="77777777" w:rsidR="00676E7A" w:rsidRPr="00650725" w:rsidRDefault="00676E7A" w:rsidP="00560E17">
      <w:pPr>
        <w:tabs>
          <w:tab w:val="left" w:pos="882"/>
        </w:tabs>
        <w:jc w:val="both"/>
        <w:rPr>
          <w:b/>
        </w:rPr>
      </w:pPr>
    </w:p>
    <w:p w14:paraId="3B39286C" w14:textId="21BD9D18" w:rsidR="00560E17" w:rsidRPr="00650725" w:rsidRDefault="00C61EA1" w:rsidP="00203309">
      <w:pPr>
        <w:ind w:left="360" w:hanging="360"/>
        <w:rPr>
          <w:b/>
        </w:rPr>
      </w:pPr>
      <w:r w:rsidRPr="00650725">
        <w:rPr>
          <w:b/>
        </w:rPr>
        <w:t xml:space="preserve">H. </w:t>
      </w:r>
      <w:r w:rsidR="006262A5" w:rsidRPr="00650725">
        <w:rPr>
          <w:b/>
        </w:rPr>
        <w:t xml:space="preserve"> </w:t>
      </w:r>
      <w:r w:rsidR="00245ACA" w:rsidRPr="00650725">
        <w:rPr>
          <w:b/>
        </w:rPr>
        <w:t>Status of Settlement of Audit Suspensions, Disallowances and Charges</w:t>
      </w:r>
    </w:p>
    <w:p w14:paraId="2E14E04E" w14:textId="5CAE32EF" w:rsidR="00E50B98" w:rsidRPr="00650725" w:rsidRDefault="00E50B98" w:rsidP="00203309">
      <w:pPr>
        <w:ind w:left="360" w:hanging="360"/>
        <w:rPr>
          <w:b/>
        </w:rPr>
      </w:pPr>
    </w:p>
    <w:p w14:paraId="21E4EB85" w14:textId="5C423FD0" w:rsidR="00E50B98" w:rsidRPr="00650725" w:rsidRDefault="00650725" w:rsidP="00DA45BD">
      <w:pPr>
        <w:ind w:left="360" w:firstLine="774"/>
        <w:jc w:val="both"/>
        <w:rPr>
          <w:bCs/>
        </w:rPr>
      </w:pPr>
      <w:r w:rsidRPr="00650725">
        <w:t>For CY 2023, there were no Notice of Suspension</w:t>
      </w:r>
      <w:r w:rsidR="008701DB">
        <w:t>s</w:t>
      </w:r>
      <w:r w:rsidRPr="00650725">
        <w:t>, Disallowance</w:t>
      </w:r>
      <w:r w:rsidR="008701DB">
        <w:t>s</w:t>
      </w:r>
      <w:r w:rsidRPr="00650725">
        <w:t xml:space="preserve"> nor Charges issued.</w:t>
      </w:r>
      <w:r w:rsidR="00755251" w:rsidRPr="00650725">
        <w:rPr>
          <w:bCs/>
        </w:rPr>
        <w:t xml:space="preserve"> </w:t>
      </w:r>
    </w:p>
    <w:p w14:paraId="1F5E80E5" w14:textId="0553134E" w:rsidR="001B056B" w:rsidRPr="00650725" w:rsidRDefault="001B056B" w:rsidP="00203309">
      <w:pPr>
        <w:ind w:left="360" w:hanging="360"/>
        <w:rPr>
          <w:bCs/>
        </w:rPr>
      </w:pPr>
    </w:p>
    <w:p w14:paraId="5F1837DA" w14:textId="77777777" w:rsidR="00650725" w:rsidRPr="00650725" w:rsidRDefault="00650725" w:rsidP="00203309">
      <w:pPr>
        <w:ind w:left="360" w:hanging="360"/>
        <w:rPr>
          <w:bCs/>
        </w:rPr>
      </w:pPr>
    </w:p>
    <w:p w14:paraId="7D26EAC0" w14:textId="585BCB75" w:rsidR="00E76DD2" w:rsidRPr="00650725" w:rsidRDefault="00E76DD2" w:rsidP="00E76DD2">
      <w:pPr>
        <w:ind w:left="360" w:hanging="360"/>
        <w:rPr>
          <w:b/>
        </w:rPr>
      </w:pPr>
      <w:r w:rsidRPr="00650725">
        <w:rPr>
          <w:b/>
        </w:rPr>
        <w:t xml:space="preserve">I.  </w:t>
      </w:r>
      <w:r w:rsidR="002D06DA" w:rsidRPr="00650725">
        <w:rPr>
          <w:b/>
        </w:rPr>
        <w:t>Report on Real Property Disposal</w:t>
      </w:r>
    </w:p>
    <w:p w14:paraId="54991D12" w14:textId="7F1206DE" w:rsidR="002D06DA" w:rsidRPr="00650725" w:rsidRDefault="002D06DA" w:rsidP="00A84A00">
      <w:pPr>
        <w:rPr>
          <w:b/>
        </w:rPr>
      </w:pPr>
    </w:p>
    <w:p w14:paraId="697B42B3" w14:textId="7AB7FD86" w:rsidR="00D818FD" w:rsidRPr="003362C3" w:rsidRDefault="00650725" w:rsidP="00632C3A">
      <w:pPr>
        <w:ind w:left="360" w:firstLine="774"/>
        <w:jc w:val="both"/>
      </w:pPr>
      <w:r w:rsidRPr="00650725">
        <w:t>The Report on Real Property Disposal showed that PGLU has no real property disposed for CY 2023</w:t>
      </w:r>
      <w:r w:rsidR="00332D9F" w:rsidRPr="00650725">
        <w:t>.</w:t>
      </w:r>
    </w:p>
    <w:sectPr w:rsidR="00D818FD" w:rsidRPr="003362C3" w:rsidSect="00B43896">
      <w:footerReference w:type="default" r:id="rId9"/>
      <w:pgSz w:w="12240" w:h="15840"/>
      <w:pgMar w:top="1440" w:right="1440" w:bottom="1440" w:left="2160" w:header="72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757DA" w14:textId="77777777" w:rsidR="007A070E" w:rsidRDefault="007A070E" w:rsidP="00056EFF">
      <w:r>
        <w:separator/>
      </w:r>
    </w:p>
  </w:endnote>
  <w:endnote w:type="continuationSeparator" w:id="0">
    <w:p w14:paraId="4A0A2205" w14:textId="77777777" w:rsidR="007A070E" w:rsidRDefault="007A070E" w:rsidP="00056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5039995"/>
      <w:docPartObj>
        <w:docPartGallery w:val="Page Numbers (Bottom of Page)"/>
        <w:docPartUnique/>
      </w:docPartObj>
    </w:sdtPr>
    <w:sdtEndPr>
      <w:rPr>
        <w:noProof/>
      </w:rPr>
    </w:sdtEndPr>
    <w:sdtContent>
      <w:p w14:paraId="42ADE55D" w14:textId="6D0D2A44" w:rsidR="00AB5FED" w:rsidRDefault="00AB5FED">
        <w:pPr>
          <w:pStyle w:val="Footer"/>
          <w:jc w:val="center"/>
        </w:pPr>
        <w:r>
          <w:fldChar w:fldCharType="begin"/>
        </w:r>
        <w:r>
          <w:instrText xml:space="preserve"> PAGE   \* MERGEFORMAT </w:instrText>
        </w:r>
        <w:r>
          <w:fldChar w:fldCharType="separate"/>
        </w:r>
        <w:r w:rsidR="006F55F9">
          <w:rPr>
            <w:noProof/>
          </w:rPr>
          <w:t>vi</w:t>
        </w:r>
        <w:r>
          <w:rPr>
            <w:noProof/>
          </w:rPr>
          <w:fldChar w:fldCharType="end"/>
        </w:r>
      </w:p>
    </w:sdtContent>
  </w:sdt>
  <w:p w14:paraId="335E5BB2" w14:textId="77777777" w:rsidR="00AB5FED" w:rsidRDefault="00AB5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FBCBE" w14:textId="77777777" w:rsidR="007A070E" w:rsidRDefault="007A070E" w:rsidP="00056EFF">
      <w:r>
        <w:separator/>
      </w:r>
    </w:p>
  </w:footnote>
  <w:footnote w:type="continuationSeparator" w:id="0">
    <w:p w14:paraId="3F902F9F" w14:textId="77777777" w:rsidR="007A070E" w:rsidRDefault="007A070E" w:rsidP="00056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E1E5F"/>
    <w:multiLevelType w:val="hybridMultilevel"/>
    <w:tmpl w:val="26E2FFB6"/>
    <w:lvl w:ilvl="0" w:tplc="C41CE560">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 w15:restartNumberingAfterBreak="0">
    <w:nsid w:val="089560B0"/>
    <w:multiLevelType w:val="hybridMultilevel"/>
    <w:tmpl w:val="47725B8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97324D4"/>
    <w:multiLevelType w:val="hybridMultilevel"/>
    <w:tmpl w:val="080856E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ACA0E04"/>
    <w:multiLevelType w:val="hybridMultilevel"/>
    <w:tmpl w:val="722EAF14"/>
    <w:lvl w:ilvl="0" w:tplc="FD1CDFB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D813F27"/>
    <w:multiLevelType w:val="hybridMultilevel"/>
    <w:tmpl w:val="B6AC6ED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F600D92"/>
    <w:multiLevelType w:val="hybridMultilevel"/>
    <w:tmpl w:val="9C4EC9A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1526141E"/>
    <w:multiLevelType w:val="hybridMultilevel"/>
    <w:tmpl w:val="B5088A2C"/>
    <w:lvl w:ilvl="0" w:tplc="11FE7C72">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55048D0"/>
    <w:multiLevelType w:val="hybridMultilevel"/>
    <w:tmpl w:val="FB12A1C0"/>
    <w:lvl w:ilvl="0" w:tplc="34090019">
      <w:start w:val="1"/>
      <w:numFmt w:val="lowerLetter"/>
      <w:lvlText w:val="%1."/>
      <w:lvlJc w:val="left"/>
      <w:pPr>
        <w:ind w:left="720" w:hanging="360"/>
      </w:pPr>
      <w:rPr>
        <w:rFonts w:hint="default"/>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83D0566"/>
    <w:multiLevelType w:val="hybridMultilevel"/>
    <w:tmpl w:val="ADB6B75C"/>
    <w:lvl w:ilvl="0" w:tplc="34090017">
      <w:start w:val="1"/>
      <w:numFmt w:val="lowerLetter"/>
      <w:lvlText w:val="%1)"/>
      <w:lvlJc w:val="left"/>
      <w:pPr>
        <w:ind w:left="1494" w:hanging="360"/>
      </w:p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9" w15:restartNumberingAfterBreak="0">
    <w:nsid w:val="1CA759EA"/>
    <w:multiLevelType w:val="hybridMultilevel"/>
    <w:tmpl w:val="F002142A"/>
    <w:lvl w:ilvl="0" w:tplc="096CC982">
      <w:start w:val="1"/>
      <w:numFmt w:val="lowerLetter"/>
      <w:lvlText w:val="%1."/>
      <w:lvlJc w:val="left"/>
      <w:pPr>
        <w:ind w:left="720" w:hanging="36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2130727F"/>
    <w:multiLevelType w:val="hybridMultilevel"/>
    <w:tmpl w:val="8BAA9D5C"/>
    <w:lvl w:ilvl="0" w:tplc="34090019">
      <w:start w:val="1"/>
      <w:numFmt w:val="lowerLetter"/>
      <w:lvlText w:val="%1."/>
      <w:lvlJc w:val="left"/>
      <w:pPr>
        <w:ind w:left="1429" w:hanging="360"/>
      </w:pPr>
    </w:lvl>
    <w:lvl w:ilvl="1" w:tplc="34090019" w:tentative="1">
      <w:start w:val="1"/>
      <w:numFmt w:val="lowerLetter"/>
      <w:lvlText w:val="%2."/>
      <w:lvlJc w:val="left"/>
      <w:pPr>
        <w:ind w:left="2149" w:hanging="360"/>
      </w:pPr>
    </w:lvl>
    <w:lvl w:ilvl="2" w:tplc="3409001B" w:tentative="1">
      <w:start w:val="1"/>
      <w:numFmt w:val="lowerRoman"/>
      <w:lvlText w:val="%3."/>
      <w:lvlJc w:val="right"/>
      <w:pPr>
        <w:ind w:left="2869" w:hanging="180"/>
      </w:pPr>
    </w:lvl>
    <w:lvl w:ilvl="3" w:tplc="3409000F" w:tentative="1">
      <w:start w:val="1"/>
      <w:numFmt w:val="decimal"/>
      <w:lvlText w:val="%4."/>
      <w:lvlJc w:val="left"/>
      <w:pPr>
        <w:ind w:left="3589" w:hanging="360"/>
      </w:pPr>
    </w:lvl>
    <w:lvl w:ilvl="4" w:tplc="34090019" w:tentative="1">
      <w:start w:val="1"/>
      <w:numFmt w:val="lowerLetter"/>
      <w:lvlText w:val="%5."/>
      <w:lvlJc w:val="left"/>
      <w:pPr>
        <w:ind w:left="4309" w:hanging="360"/>
      </w:pPr>
    </w:lvl>
    <w:lvl w:ilvl="5" w:tplc="3409001B" w:tentative="1">
      <w:start w:val="1"/>
      <w:numFmt w:val="lowerRoman"/>
      <w:lvlText w:val="%6."/>
      <w:lvlJc w:val="right"/>
      <w:pPr>
        <w:ind w:left="5029" w:hanging="180"/>
      </w:pPr>
    </w:lvl>
    <w:lvl w:ilvl="6" w:tplc="3409000F" w:tentative="1">
      <w:start w:val="1"/>
      <w:numFmt w:val="decimal"/>
      <w:lvlText w:val="%7."/>
      <w:lvlJc w:val="left"/>
      <w:pPr>
        <w:ind w:left="5749" w:hanging="360"/>
      </w:pPr>
    </w:lvl>
    <w:lvl w:ilvl="7" w:tplc="34090019" w:tentative="1">
      <w:start w:val="1"/>
      <w:numFmt w:val="lowerLetter"/>
      <w:lvlText w:val="%8."/>
      <w:lvlJc w:val="left"/>
      <w:pPr>
        <w:ind w:left="6469" w:hanging="360"/>
      </w:pPr>
    </w:lvl>
    <w:lvl w:ilvl="8" w:tplc="3409001B" w:tentative="1">
      <w:start w:val="1"/>
      <w:numFmt w:val="lowerRoman"/>
      <w:lvlText w:val="%9."/>
      <w:lvlJc w:val="right"/>
      <w:pPr>
        <w:ind w:left="7189" w:hanging="180"/>
      </w:pPr>
    </w:lvl>
  </w:abstractNum>
  <w:abstractNum w:abstractNumId="11" w15:restartNumberingAfterBreak="0">
    <w:nsid w:val="217132C7"/>
    <w:multiLevelType w:val="hybridMultilevel"/>
    <w:tmpl w:val="61765AE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224E4C4C"/>
    <w:multiLevelType w:val="hybridMultilevel"/>
    <w:tmpl w:val="8EDC2B56"/>
    <w:lvl w:ilvl="0" w:tplc="A72485B2">
      <w:start w:val="1"/>
      <w:numFmt w:val="lowerLetter"/>
      <w:lvlText w:val="%1)"/>
      <w:lvlJc w:val="left"/>
      <w:pPr>
        <w:ind w:left="1080" w:hanging="360"/>
      </w:p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13" w15:restartNumberingAfterBreak="0">
    <w:nsid w:val="240C11CF"/>
    <w:multiLevelType w:val="hybridMultilevel"/>
    <w:tmpl w:val="7566579A"/>
    <w:lvl w:ilvl="0" w:tplc="095089EA">
      <w:start w:val="1"/>
      <w:numFmt w:val="lowerLetter"/>
      <w:lvlText w:val="%1)"/>
      <w:lvlJc w:val="left"/>
      <w:pPr>
        <w:ind w:left="1080" w:hanging="360"/>
      </w:pPr>
      <w:rPr>
        <w:rFonts w:hint="default"/>
        <w:sz w:val="24"/>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15:restartNumberingAfterBreak="0">
    <w:nsid w:val="28586780"/>
    <w:multiLevelType w:val="hybridMultilevel"/>
    <w:tmpl w:val="D40EB7F0"/>
    <w:lvl w:ilvl="0" w:tplc="34090017">
      <w:start w:val="1"/>
      <w:numFmt w:val="lowerLetter"/>
      <w:lvlText w:val="%1)"/>
      <w:lvlJc w:val="left"/>
      <w:pPr>
        <w:ind w:left="1800" w:hanging="360"/>
      </w:pPr>
    </w:lvl>
    <w:lvl w:ilvl="1" w:tplc="34090019">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5" w15:restartNumberingAfterBreak="0">
    <w:nsid w:val="2D0C6988"/>
    <w:multiLevelType w:val="hybridMultilevel"/>
    <w:tmpl w:val="BBC4CE72"/>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6" w15:restartNumberingAfterBreak="0">
    <w:nsid w:val="2E0418C7"/>
    <w:multiLevelType w:val="hybridMultilevel"/>
    <w:tmpl w:val="908A9FB4"/>
    <w:lvl w:ilvl="0" w:tplc="3409001B">
      <w:start w:val="1"/>
      <w:numFmt w:val="lowerRoman"/>
      <w:lvlText w:val="%1."/>
      <w:lvlJc w:val="right"/>
      <w:pPr>
        <w:ind w:left="1080" w:hanging="360"/>
      </w:p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17" w15:restartNumberingAfterBreak="0">
    <w:nsid w:val="2FFA3728"/>
    <w:multiLevelType w:val="hybridMultilevel"/>
    <w:tmpl w:val="2EA83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12707"/>
    <w:multiLevelType w:val="hybridMultilevel"/>
    <w:tmpl w:val="16DC7D96"/>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520AFA"/>
    <w:multiLevelType w:val="hybridMultilevel"/>
    <w:tmpl w:val="49F6CD1A"/>
    <w:lvl w:ilvl="0" w:tplc="D3342CB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31C5052"/>
    <w:multiLevelType w:val="hybridMultilevel"/>
    <w:tmpl w:val="8C8EA332"/>
    <w:lvl w:ilvl="0" w:tplc="FDECCC3A">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1" w15:restartNumberingAfterBreak="0">
    <w:nsid w:val="44EB3E89"/>
    <w:multiLevelType w:val="hybridMultilevel"/>
    <w:tmpl w:val="D9B80702"/>
    <w:lvl w:ilvl="0" w:tplc="9CB8A8B6">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15:restartNumberingAfterBreak="0">
    <w:nsid w:val="4AA97288"/>
    <w:multiLevelType w:val="hybridMultilevel"/>
    <w:tmpl w:val="48A09820"/>
    <w:lvl w:ilvl="0" w:tplc="C330A1E0">
      <w:start w:val="1"/>
      <w:numFmt w:val="lowerRoman"/>
      <w:lvlText w:val="%1."/>
      <w:lvlJc w:val="right"/>
      <w:pPr>
        <w:ind w:left="1069" w:hanging="360"/>
      </w:pPr>
      <w:rPr>
        <w:rFonts w:ascii="Times New Roman" w:eastAsia="Calibri" w:hAnsi="Times New Roman" w:cs="Times New Roman"/>
      </w:rPr>
    </w:lvl>
    <w:lvl w:ilvl="1" w:tplc="90EE7292">
      <w:start w:val="1"/>
      <w:numFmt w:val="lowerLetter"/>
      <w:lvlText w:val="%2."/>
      <w:lvlJc w:val="left"/>
      <w:pPr>
        <w:ind w:left="1789" w:hanging="360"/>
      </w:pPr>
      <w:rPr>
        <w:rFonts w:ascii="Times New Roman" w:hAnsi="Times New Roman" w:cs="Times New Roman" w:hint="default"/>
        <w:sz w:val="24"/>
      </w:rPr>
    </w:lvl>
    <w:lvl w:ilvl="2" w:tplc="3409001B" w:tentative="1">
      <w:start w:val="1"/>
      <w:numFmt w:val="lowerRoman"/>
      <w:lvlText w:val="%3."/>
      <w:lvlJc w:val="right"/>
      <w:pPr>
        <w:ind w:left="2509" w:hanging="180"/>
      </w:pPr>
    </w:lvl>
    <w:lvl w:ilvl="3" w:tplc="3409000F" w:tentative="1">
      <w:start w:val="1"/>
      <w:numFmt w:val="decimal"/>
      <w:lvlText w:val="%4."/>
      <w:lvlJc w:val="left"/>
      <w:pPr>
        <w:ind w:left="3229" w:hanging="360"/>
      </w:pPr>
    </w:lvl>
    <w:lvl w:ilvl="4" w:tplc="34090019" w:tentative="1">
      <w:start w:val="1"/>
      <w:numFmt w:val="lowerLetter"/>
      <w:lvlText w:val="%5."/>
      <w:lvlJc w:val="left"/>
      <w:pPr>
        <w:ind w:left="3949" w:hanging="360"/>
      </w:pPr>
    </w:lvl>
    <w:lvl w:ilvl="5" w:tplc="3409001B" w:tentative="1">
      <w:start w:val="1"/>
      <w:numFmt w:val="lowerRoman"/>
      <w:lvlText w:val="%6."/>
      <w:lvlJc w:val="right"/>
      <w:pPr>
        <w:ind w:left="4669" w:hanging="180"/>
      </w:pPr>
    </w:lvl>
    <w:lvl w:ilvl="6" w:tplc="3409000F" w:tentative="1">
      <w:start w:val="1"/>
      <w:numFmt w:val="decimal"/>
      <w:lvlText w:val="%7."/>
      <w:lvlJc w:val="left"/>
      <w:pPr>
        <w:ind w:left="5389" w:hanging="360"/>
      </w:pPr>
    </w:lvl>
    <w:lvl w:ilvl="7" w:tplc="34090019" w:tentative="1">
      <w:start w:val="1"/>
      <w:numFmt w:val="lowerLetter"/>
      <w:lvlText w:val="%8."/>
      <w:lvlJc w:val="left"/>
      <w:pPr>
        <w:ind w:left="6109" w:hanging="360"/>
      </w:pPr>
    </w:lvl>
    <w:lvl w:ilvl="8" w:tplc="3409001B" w:tentative="1">
      <w:start w:val="1"/>
      <w:numFmt w:val="lowerRoman"/>
      <w:lvlText w:val="%9."/>
      <w:lvlJc w:val="right"/>
      <w:pPr>
        <w:ind w:left="6829" w:hanging="180"/>
      </w:pPr>
    </w:lvl>
  </w:abstractNum>
  <w:abstractNum w:abstractNumId="23" w15:restartNumberingAfterBreak="0">
    <w:nsid w:val="4B53686A"/>
    <w:multiLevelType w:val="hybridMultilevel"/>
    <w:tmpl w:val="080856E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4F716B81"/>
    <w:multiLevelType w:val="hybridMultilevel"/>
    <w:tmpl w:val="1048FDD2"/>
    <w:lvl w:ilvl="0" w:tplc="EEE8C7CA">
      <w:start w:val="1"/>
      <w:numFmt w:val="decimal"/>
      <w:lvlText w:val="%1."/>
      <w:lvlJc w:val="left"/>
      <w:pPr>
        <w:ind w:left="720" w:hanging="360"/>
      </w:pPr>
      <w:rPr>
        <w:rFonts w:ascii="Times New Roman" w:hAnsi="Times New Roman" w:cs="Times New Roman" w:hint="default"/>
        <w:b/>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510F6A4F"/>
    <w:multiLevelType w:val="hybridMultilevel"/>
    <w:tmpl w:val="8EDC2B56"/>
    <w:lvl w:ilvl="0" w:tplc="A72485B2">
      <w:start w:val="1"/>
      <w:numFmt w:val="lowerLetter"/>
      <w:lvlText w:val="%1)"/>
      <w:lvlJc w:val="left"/>
      <w:pPr>
        <w:ind w:left="1080" w:hanging="360"/>
      </w:p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26" w15:restartNumberingAfterBreak="0">
    <w:nsid w:val="56055546"/>
    <w:multiLevelType w:val="multilevel"/>
    <w:tmpl w:val="59E8AD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6944597"/>
    <w:multiLevelType w:val="hybridMultilevel"/>
    <w:tmpl w:val="EBE8C480"/>
    <w:lvl w:ilvl="0" w:tplc="34090019">
      <w:start w:val="1"/>
      <w:numFmt w:val="lowerLetter"/>
      <w:lvlText w:val="%1."/>
      <w:lvlJc w:val="left"/>
      <w:pPr>
        <w:ind w:left="1494" w:hanging="360"/>
      </w:p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28" w15:restartNumberingAfterBreak="0">
    <w:nsid w:val="5A540EBC"/>
    <w:multiLevelType w:val="hybridMultilevel"/>
    <w:tmpl w:val="21F655DA"/>
    <w:lvl w:ilvl="0" w:tplc="140423AC">
      <w:start w:val="1"/>
      <w:numFmt w:val="lowerLetter"/>
      <w:lvlText w:val="%1)"/>
      <w:lvlJc w:val="left"/>
      <w:pPr>
        <w:ind w:left="1080" w:hanging="360"/>
      </w:pPr>
      <w:rPr>
        <w:rFonts w:ascii="Times New Roman" w:hAnsi="Times New Roman" w:cs="Times New Roman" w:hint="default"/>
      </w:r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29" w15:restartNumberingAfterBreak="0">
    <w:nsid w:val="629F3845"/>
    <w:multiLevelType w:val="hybridMultilevel"/>
    <w:tmpl w:val="2FE830E0"/>
    <w:lvl w:ilvl="0" w:tplc="0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0" w15:restartNumberingAfterBreak="0">
    <w:nsid w:val="73D50513"/>
    <w:multiLevelType w:val="hybridMultilevel"/>
    <w:tmpl w:val="23BC2564"/>
    <w:lvl w:ilvl="0" w:tplc="DB9CA836">
      <w:start w:val="1"/>
      <w:numFmt w:val="decimal"/>
      <w:lvlText w:val="%1."/>
      <w:lvlJc w:val="left"/>
      <w:pPr>
        <w:ind w:left="720" w:hanging="360"/>
      </w:pPr>
      <w:rPr>
        <w:rFonts w:ascii="Times New Roman" w:hAnsi="Times New Roman" w:cs="Times New Roman" w:hint="default"/>
        <w:sz w:val="24"/>
        <w:szCs w:val="24"/>
      </w:rPr>
    </w:lvl>
    <w:lvl w:ilvl="1" w:tplc="C4929EB8">
      <w:start w:val="1"/>
      <w:numFmt w:val="low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797833CF"/>
    <w:multiLevelType w:val="hybridMultilevel"/>
    <w:tmpl w:val="080856E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7F414489"/>
    <w:multiLevelType w:val="hybridMultilevel"/>
    <w:tmpl w:val="E7E49786"/>
    <w:lvl w:ilvl="0" w:tplc="34090017">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num w:numId="1" w16cid:durableId="397290510">
    <w:abstractNumId w:val="18"/>
  </w:num>
  <w:num w:numId="2" w16cid:durableId="372968730">
    <w:abstractNumId w:val="4"/>
  </w:num>
  <w:num w:numId="3" w16cid:durableId="239825645">
    <w:abstractNumId w:val="24"/>
  </w:num>
  <w:num w:numId="4" w16cid:durableId="560365354">
    <w:abstractNumId w:val="30"/>
  </w:num>
  <w:num w:numId="5" w16cid:durableId="212036317">
    <w:abstractNumId w:val="29"/>
  </w:num>
  <w:num w:numId="6" w16cid:durableId="287006226">
    <w:abstractNumId w:val="11"/>
  </w:num>
  <w:num w:numId="7" w16cid:durableId="1715234001">
    <w:abstractNumId w:val="22"/>
  </w:num>
  <w:num w:numId="8" w16cid:durableId="1304193510">
    <w:abstractNumId w:val="7"/>
  </w:num>
  <w:num w:numId="9" w16cid:durableId="1101997587">
    <w:abstractNumId w:val="20"/>
  </w:num>
  <w:num w:numId="10" w16cid:durableId="219100812">
    <w:abstractNumId w:val="9"/>
  </w:num>
  <w:num w:numId="11" w16cid:durableId="2024743737">
    <w:abstractNumId w:val="6"/>
  </w:num>
  <w:num w:numId="12" w16cid:durableId="1385251218">
    <w:abstractNumId w:val="10"/>
  </w:num>
  <w:num w:numId="13" w16cid:durableId="1238858481">
    <w:abstractNumId w:val="0"/>
  </w:num>
  <w:num w:numId="14" w16cid:durableId="485172978">
    <w:abstractNumId w:val="21"/>
  </w:num>
  <w:num w:numId="15" w16cid:durableId="141627665">
    <w:abstractNumId w:val="5"/>
  </w:num>
  <w:num w:numId="16" w16cid:durableId="1840652033">
    <w:abstractNumId w:val="1"/>
  </w:num>
  <w:num w:numId="17" w16cid:durableId="1998142916">
    <w:abstractNumId w:val="3"/>
  </w:num>
  <w:num w:numId="18" w16cid:durableId="79982608">
    <w:abstractNumId w:val="27"/>
  </w:num>
  <w:num w:numId="19" w16cid:durableId="1097024669">
    <w:abstractNumId w:val="13"/>
  </w:num>
  <w:num w:numId="20" w16cid:durableId="497112709">
    <w:abstractNumId w:val="19"/>
  </w:num>
  <w:num w:numId="21" w16cid:durableId="688064835">
    <w:abstractNumId w:val="32"/>
  </w:num>
  <w:num w:numId="22" w16cid:durableId="960303739">
    <w:abstractNumId w:val="14"/>
  </w:num>
  <w:num w:numId="23" w16cid:durableId="698580862">
    <w:abstractNumId w:val="8"/>
  </w:num>
  <w:num w:numId="24" w16cid:durableId="11625073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599542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8006417">
    <w:abstractNumId w:val="26"/>
  </w:num>
  <w:num w:numId="27" w16cid:durableId="545025602">
    <w:abstractNumId w:val="15"/>
  </w:num>
  <w:num w:numId="28" w16cid:durableId="579026143">
    <w:abstractNumId w:val="25"/>
  </w:num>
  <w:num w:numId="29" w16cid:durableId="2030982849">
    <w:abstractNumId w:val="12"/>
  </w:num>
  <w:num w:numId="30" w16cid:durableId="418214834">
    <w:abstractNumId w:val="28"/>
  </w:num>
  <w:num w:numId="31" w16cid:durableId="1411195426">
    <w:abstractNumId w:val="2"/>
  </w:num>
  <w:num w:numId="32" w16cid:durableId="1613901010">
    <w:abstractNumId w:val="23"/>
  </w:num>
  <w:num w:numId="33" w16cid:durableId="202713336">
    <w:abstractNumId w:val="31"/>
  </w:num>
  <w:num w:numId="34" w16cid:durableId="897664341">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cumentProtection w:edit="forms" w:enforcement="1" w:cryptProviderType="rsaAES" w:cryptAlgorithmClass="hash" w:cryptAlgorithmType="typeAny" w:cryptAlgorithmSid="14" w:cryptSpinCount="100000" w:hash="VNGWV5fc+hL5uvynFgq/x3JVJb2/OxoYmSfPMKCQ+kNYlD9NecqKErzXweLTV1AjqSlaXh7R06pk6Zx+Z6WJvg==" w:salt="2pXJhfmr/TkgaTwutwrkH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895"/>
    <w:rsid w:val="00000B61"/>
    <w:rsid w:val="00001FD8"/>
    <w:rsid w:val="00003AC9"/>
    <w:rsid w:val="00003C24"/>
    <w:rsid w:val="000049AB"/>
    <w:rsid w:val="00012A0B"/>
    <w:rsid w:val="00016C8F"/>
    <w:rsid w:val="00021667"/>
    <w:rsid w:val="00021972"/>
    <w:rsid w:val="00025C38"/>
    <w:rsid w:val="0003111B"/>
    <w:rsid w:val="00034277"/>
    <w:rsid w:val="00036704"/>
    <w:rsid w:val="00037FA1"/>
    <w:rsid w:val="00041B75"/>
    <w:rsid w:val="0004237A"/>
    <w:rsid w:val="00042895"/>
    <w:rsid w:val="00044BB3"/>
    <w:rsid w:val="00046147"/>
    <w:rsid w:val="00047F51"/>
    <w:rsid w:val="00053FFB"/>
    <w:rsid w:val="00054623"/>
    <w:rsid w:val="00054FE6"/>
    <w:rsid w:val="00056EFF"/>
    <w:rsid w:val="00061CD4"/>
    <w:rsid w:val="00063BF5"/>
    <w:rsid w:val="00065A50"/>
    <w:rsid w:val="000703BE"/>
    <w:rsid w:val="00073E44"/>
    <w:rsid w:val="000744D7"/>
    <w:rsid w:val="00075623"/>
    <w:rsid w:val="00076F88"/>
    <w:rsid w:val="000829A1"/>
    <w:rsid w:val="000840F7"/>
    <w:rsid w:val="00086DC8"/>
    <w:rsid w:val="00087F5A"/>
    <w:rsid w:val="00090788"/>
    <w:rsid w:val="000919A1"/>
    <w:rsid w:val="000923E9"/>
    <w:rsid w:val="00093293"/>
    <w:rsid w:val="00094047"/>
    <w:rsid w:val="00096131"/>
    <w:rsid w:val="000969AF"/>
    <w:rsid w:val="00096DEF"/>
    <w:rsid w:val="00097C90"/>
    <w:rsid w:val="000A11F6"/>
    <w:rsid w:val="000A1DD6"/>
    <w:rsid w:val="000A39FA"/>
    <w:rsid w:val="000A4B59"/>
    <w:rsid w:val="000A6469"/>
    <w:rsid w:val="000A65B5"/>
    <w:rsid w:val="000A662D"/>
    <w:rsid w:val="000B3381"/>
    <w:rsid w:val="000B3479"/>
    <w:rsid w:val="000B3FA2"/>
    <w:rsid w:val="000B44A6"/>
    <w:rsid w:val="000B48CA"/>
    <w:rsid w:val="000B556F"/>
    <w:rsid w:val="000B6270"/>
    <w:rsid w:val="000B62BF"/>
    <w:rsid w:val="000C0107"/>
    <w:rsid w:val="000C02A9"/>
    <w:rsid w:val="000C039F"/>
    <w:rsid w:val="000C0BFE"/>
    <w:rsid w:val="000C1A84"/>
    <w:rsid w:val="000C30D6"/>
    <w:rsid w:val="000C3DE8"/>
    <w:rsid w:val="000C4B5D"/>
    <w:rsid w:val="000C552B"/>
    <w:rsid w:val="000C6693"/>
    <w:rsid w:val="000D2FD4"/>
    <w:rsid w:val="000D7FF5"/>
    <w:rsid w:val="000E5D24"/>
    <w:rsid w:val="000F197C"/>
    <w:rsid w:val="000F2355"/>
    <w:rsid w:val="000F39EF"/>
    <w:rsid w:val="000F5613"/>
    <w:rsid w:val="000F6B55"/>
    <w:rsid w:val="000F6C88"/>
    <w:rsid w:val="000F7C07"/>
    <w:rsid w:val="00100DE5"/>
    <w:rsid w:val="00102770"/>
    <w:rsid w:val="00106C8B"/>
    <w:rsid w:val="001077B3"/>
    <w:rsid w:val="00107E65"/>
    <w:rsid w:val="001107A3"/>
    <w:rsid w:val="00114BFB"/>
    <w:rsid w:val="0011734E"/>
    <w:rsid w:val="00117F96"/>
    <w:rsid w:val="00121701"/>
    <w:rsid w:val="001218F7"/>
    <w:rsid w:val="00124748"/>
    <w:rsid w:val="001319D6"/>
    <w:rsid w:val="00132BEC"/>
    <w:rsid w:val="00133434"/>
    <w:rsid w:val="00137F51"/>
    <w:rsid w:val="00141188"/>
    <w:rsid w:val="001411ED"/>
    <w:rsid w:val="00143611"/>
    <w:rsid w:val="001454E9"/>
    <w:rsid w:val="00146E84"/>
    <w:rsid w:val="00147CD5"/>
    <w:rsid w:val="00153CE1"/>
    <w:rsid w:val="0015633B"/>
    <w:rsid w:val="00156E31"/>
    <w:rsid w:val="001604F1"/>
    <w:rsid w:val="00167222"/>
    <w:rsid w:val="00167343"/>
    <w:rsid w:val="00167656"/>
    <w:rsid w:val="00171EBF"/>
    <w:rsid w:val="00174871"/>
    <w:rsid w:val="00175E0B"/>
    <w:rsid w:val="00184273"/>
    <w:rsid w:val="001902F4"/>
    <w:rsid w:val="001950E0"/>
    <w:rsid w:val="00195F20"/>
    <w:rsid w:val="0019618A"/>
    <w:rsid w:val="00197EE7"/>
    <w:rsid w:val="001A0AD3"/>
    <w:rsid w:val="001A18EA"/>
    <w:rsid w:val="001A6935"/>
    <w:rsid w:val="001A7798"/>
    <w:rsid w:val="001B056B"/>
    <w:rsid w:val="001B3CD2"/>
    <w:rsid w:val="001B5534"/>
    <w:rsid w:val="001B71A8"/>
    <w:rsid w:val="001B7D31"/>
    <w:rsid w:val="001C04A7"/>
    <w:rsid w:val="001C0D1D"/>
    <w:rsid w:val="001C1E08"/>
    <w:rsid w:val="001C329D"/>
    <w:rsid w:val="001C64DE"/>
    <w:rsid w:val="001C65FD"/>
    <w:rsid w:val="001C7354"/>
    <w:rsid w:val="001C7845"/>
    <w:rsid w:val="001D0789"/>
    <w:rsid w:val="001D1A71"/>
    <w:rsid w:val="001D3ACA"/>
    <w:rsid w:val="001D3BFD"/>
    <w:rsid w:val="001D6709"/>
    <w:rsid w:val="001E1D19"/>
    <w:rsid w:val="001F1F65"/>
    <w:rsid w:val="001F228C"/>
    <w:rsid w:val="001F22FE"/>
    <w:rsid w:val="001F2437"/>
    <w:rsid w:val="001F2B61"/>
    <w:rsid w:val="001F2D56"/>
    <w:rsid w:val="001F55C1"/>
    <w:rsid w:val="001F6221"/>
    <w:rsid w:val="001F64CC"/>
    <w:rsid w:val="00203309"/>
    <w:rsid w:val="0020640D"/>
    <w:rsid w:val="00206599"/>
    <w:rsid w:val="00206EFC"/>
    <w:rsid w:val="00206F79"/>
    <w:rsid w:val="00210C85"/>
    <w:rsid w:val="00212407"/>
    <w:rsid w:val="0021472C"/>
    <w:rsid w:val="0021556C"/>
    <w:rsid w:val="002168C6"/>
    <w:rsid w:val="0022172E"/>
    <w:rsid w:val="00221D64"/>
    <w:rsid w:val="00222048"/>
    <w:rsid w:val="00222B4B"/>
    <w:rsid w:val="00225DB8"/>
    <w:rsid w:val="00240C23"/>
    <w:rsid w:val="00244FA5"/>
    <w:rsid w:val="002452E7"/>
    <w:rsid w:val="002452F8"/>
    <w:rsid w:val="00245ACA"/>
    <w:rsid w:val="00253639"/>
    <w:rsid w:val="00253D52"/>
    <w:rsid w:val="002557E8"/>
    <w:rsid w:val="00255829"/>
    <w:rsid w:val="00257792"/>
    <w:rsid w:val="0025788B"/>
    <w:rsid w:val="00260037"/>
    <w:rsid w:val="00261B12"/>
    <w:rsid w:val="00265E16"/>
    <w:rsid w:val="00266B26"/>
    <w:rsid w:val="00267049"/>
    <w:rsid w:val="00271882"/>
    <w:rsid w:val="002756B6"/>
    <w:rsid w:val="00281CEE"/>
    <w:rsid w:val="00287365"/>
    <w:rsid w:val="00287919"/>
    <w:rsid w:val="00290016"/>
    <w:rsid w:val="00291BB8"/>
    <w:rsid w:val="0029339C"/>
    <w:rsid w:val="00293838"/>
    <w:rsid w:val="00293D1D"/>
    <w:rsid w:val="00293F22"/>
    <w:rsid w:val="002947D5"/>
    <w:rsid w:val="00296F8F"/>
    <w:rsid w:val="00297BF7"/>
    <w:rsid w:val="002A062B"/>
    <w:rsid w:val="002A4033"/>
    <w:rsid w:val="002A54FA"/>
    <w:rsid w:val="002A7BAD"/>
    <w:rsid w:val="002A7C0F"/>
    <w:rsid w:val="002B00E6"/>
    <w:rsid w:val="002B2231"/>
    <w:rsid w:val="002B2813"/>
    <w:rsid w:val="002B403D"/>
    <w:rsid w:val="002B769E"/>
    <w:rsid w:val="002C32C2"/>
    <w:rsid w:val="002C4FC7"/>
    <w:rsid w:val="002C564E"/>
    <w:rsid w:val="002C713F"/>
    <w:rsid w:val="002D06DA"/>
    <w:rsid w:val="002D36AF"/>
    <w:rsid w:val="002D5213"/>
    <w:rsid w:val="002D747F"/>
    <w:rsid w:val="002E0059"/>
    <w:rsid w:val="002E5740"/>
    <w:rsid w:val="002E58C6"/>
    <w:rsid w:val="002E70EB"/>
    <w:rsid w:val="002E7898"/>
    <w:rsid w:val="002E7A79"/>
    <w:rsid w:val="002F18B9"/>
    <w:rsid w:val="002F3994"/>
    <w:rsid w:val="002F4E1D"/>
    <w:rsid w:val="002F6E54"/>
    <w:rsid w:val="0030194B"/>
    <w:rsid w:val="003028C2"/>
    <w:rsid w:val="00307276"/>
    <w:rsid w:val="003117A5"/>
    <w:rsid w:val="00312EFE"/>
    <w:rsid w:val="003138A8"/>
    <w:rsid w:val="003159F5"/>
    <w:rsid w:val="00316641"/>
    <w:rsid w:val="00317AB7"/>
    <w:rsid w:val="00322292"/>
    <w:rsid w:val="00325D37"/>
    <w:rsid w:val="0032622A"/>
    <w:rsid w:val="0032633E"/>
    <w:rsid w:val="003278E8"/>
    <w:rsid w:val="00332D9F"/>
    <w:rsid w:val="003362C3"/>
    <w:rsid w:val="003372F0"/>
    <w:rsid w:val="00337DAE"/>
    <w:rsid w:val="00341447"/>
    <w:rsid w:val="00343A91"/>
    <w:rsid w:val="00343CA0"/>
    <w:rsid w:val="00343F71"/>
    <w:rsid w:val="003442DE"/>
    <w:rsid w:val="0034662F"/>
    <w:rsid w:val="00350289"/>
    <w:rsid w:val="00350799"/>
    <w:rsid w:val="00352A30"/>
    <w:rsid w:val="00352CD3"/>
    <w:rsid w:val="00355BAB"/>
    <w:rsid w:val="003569DD"/>
    <w:rsid w:val="00357F2D"/>
    <w:rsid w:val="00362603"/>
    <w:rsid w:val="00364D50"/>
    <w:rsid w:val="00370024"/>
    <w:rsid w:val="00371567"/>
    <w:rsid w:val="00371BAA"/>
    <w:rsid w:val="00372152"/>
    <w:rsid w:val="0037304C"/>
    <w:rsid w:val="003733F9"/>
    <w:rsid w:val="0037346C"/>
    <w:rsid w:val="00377432"/>
    <w:rsid w:val="0037764B"/>
    <w:rsid w:val="003845B5"/>
    <w:rsid w:val="0039749A"/>
    <w:rsid w:val="003A0DB3"/>
    <w:rsid w:val="003A306B"/>
    <w:rsid w:val="003A5736"/>
    <w:rsid w:val="003A6BCE"/>
    <w:rsid w:val="003B36B1"/>
    <w:rsid w:val="003B504E"/>
    <w:rsid w:val="003B6977"/>
    <w:rsid w:val="003B79BE"/>
    <w:rsid w:val="003C0EAD"/>
    <w:rsid w:val="003C284F"/>
    <w:rsid w:val="003C5779"/>
    <w:rsid w:val="003C5933"/>
    <w:rsid w:val="003D0843"/>
    <w:rsid w:val="003D0970"/>
    <w:rsid w:val="003D3676"/>
    <w:rsid w:val="003D4B66"/>
    <w:rsid w:val="003D7425"/>
    <w:rsid w:val="003D76DA"/>
    <w:rsid w:val="003E367D"/>
    <w:rsid w:val="003E38BB"/>
    <w:rsid w:val="003E3E8B"/>
    <w:rsid w:val="003E5944"/>
    <w:rsid w:val="003E5F03"/>
    <w:rsid w:val="003F74B6"/>
    <w:rsid w:val="00406090"/>
    <w:rsid w:val="004066A4"/>
    <w:rsid w:val="00416055"/>
    <w:rsid w:val="00416ADD"/>
    <w:rsid w:val="00417463"/>
    <w:rsid w:val="00424BB6"/>
    <w:rsid w:val="004253EC"/>
    <w:rsid w:val="004260DC"/>
    <w:rsid w:val="00426C5E"/>
    <w:rsid w:val="00430850"/>
    <w:rsid w:val="00431800"/>
    <w:rsid w:val="0043218F"/>
    <w:rsid w:val="00432BC3"/>
    <w:rsid w:val="00434067"/>
    <w:rsid w:val="00436129"/>
    <w:rsid w:val="004407FB"/>
    <w:rsid w:val="004426D9"/>
    <w:rsid w:val="00446E64"/>
    <w:rsid w:val="00446F79"/>
    <w:rsid w:val="004475C0"/>
    <w:rsid w:val="00456047"/>
    <w:rsid w:val="00460115"/>
    <w:rsid w:val="004612E2"/>
    <w:rsid w:val="004669F4"/>
    <w:rsid w:val="00466EFB"/>
    <w:rsid w:val="00467287"/>
    <w:rsid w:val="0047392B"/>
    <w:rsid w:val="00473BEC"/>
    <w:rsid w:val="0047458E"/>
    <w:rsid w:val="00474BD8"/>
    <w:rsid w:val="00474C17"/>
    <w:rsid w:val="00475324"/>
    <w:rsid w:val="004817C6"/>
    <w:rsid w:val="00484278"/>
    <w:rsid w:val="0049077F"/>
    <w:rsid w:val="004A550B"/>
    <w:rsid w:val="004A638C"/>
    <w:rsid w:val="004A6399"/>
    <w:rsid w:val="004A787C"/>
    <w:rsid w:val="004B0865"/>
    <w:rsid w:val="004B16CE"/>
    <w:rsid w:val="004B404F"/>
    <w:rsid w:val="004B44A7"/>
    <w:rsid w:val="004B71E2"/>
    <w:rsid w:val="004B7FAD"/>
    <w:rsid w:val="004C3FBB"/>
    <w:rsid w:val="004C44CE"/>
    <w:rsid w:val="004C5A38"/>
    <w:rsid w:val="004C6ADE"/>
    <w:rsid w:val="004C779B"/>
    <w:rsid w:val="004D1C97"/>
    <w:rsid w:val="004D32A2"/>
    <w:rsid w:val="004D379A"/>
    <w:rsid w:val="004D402C"/>
    <w:rsid w:val="004D4D7D"/>
    <w:rsid w:val="004D6709"/>
    <w:rsid w:val="004D6EB0"/>
    <w:rsid w:val="004E0E38"/>
    <w:rsid w:val="004E3148"/>
    <w:rsid w:val="004E34C7"/>
    <w:rsid w:val="004E498A"/>
    <w:rsid w:val="004F05D2"/>
    <w:rsid w:val="004F0928"/>
    <w:rsid w:val="004F111A"/>
    <w:rsid w:val="004F1567"/>
    <w:rsid w:val="004F312C"/>
    <w:rsid w:val="004F3310"/>
    <w:rsid w:val="004F3A5A"/>
    <w:rsid w:val="004F521C"/>
    <w:rsid w:val="0050109C"/>
    <w:rsid w:val="005052B7"/>
    <w:rsid w:val="005100BC"/>
    <w:rsid w:val="00510E1D"/>
    <w:rsid w:val="0051193D"/>
    <w:rsid w:val="00514153"/>
    <w:rsid w:val="005147B7"/>
    <w:rsid w:val="00515DC0"/>
    <w:rsid w:val="005202EE"/>
    <w:rsid w:val="005236A0"/>
    <w:rsid w:val="0052379D"/>
    <w:rsid w:val="00526EAA"/>
    <w:rsid w:val="00527FC2"/>
    <w:rsid w:val="00540D08"/>
    <w:rsid w:val="00541A54"/>
    <w:rsid w:val="00553ECF"/>
    <w:rsid w:val="00560E17"/>
    <w:rsid w:val="00565BDA"/>
    <w:rsid w:val="005677A8"/>
    <w:rsid w:val="00567915"/>
    <w:rsid w:val="00576D5B"/>
    <w:rsid w:val="00577F2D"/>
    <w:rsid w:val="00580D23"/>
    <w:rsid w:val="00581FF3"/>
    <w:rsid w:val="005820B1"/>
    <w:rsid w:val="005826A3"/>
    <w:rsid w:val="00583E79"/>
    <w:rsid w:val="005842D5"/>
    <w:rsid w:val="00586F5E"/>
    <w:rsid w:val="00593320"/>
    <w:rsid w:val="0059554C"/>
    <w:rsid w:val="00596474"/>
    <w:rsid w:val="005A31AF"/>
    <w:rsid w:val="005A37A7"/>
    <w:rsid w:val="005A56B3"/>
    <w:rsid w:val="005A5EB7"/>
    <w:rsid w:val="005A6D54"/>
    <w:rsid w:val="005A7F58"/>
    <w:rsid w:val="005B0C73"/>
    <w:rsid w:val="005B2DEF"/>
    <w:rsid w:val="005B45F0"/>
    <w:rsid w:val="005B4D55"/>
    <w:rsid w:val="005B6028"/>
    <w:rsid w:val="005B689A"/>
    <w:rsid w:val="005B7C58"/>
    <w:rsid w:val="005C139C"/>
    <w:rsid w:val="005C18F6"/>
    <w:rsid w:val="005C1EFE"/>
    <w:rsid w:val="005C3658"/>
    <w:rsid w:val="005C5F67"/>
    <w:rsid w:val="005C60D8"/>
    <w:rsid w:val="005C6DAB"/>
    <w:rsid w:val="005C71EF"/>
    <w:rsid w:val="005D054F"/>
    <w:rsid w:val="005D2FDE"/>
    <w:rsid w:val="005D48A2"/>
    <w:rsid w:val="005D5A74"/>
    <w:rsid w:val="005D738F"/>
    <w:rsid w:val="005D7A4A"/>
    <w:rsid w:val="005E03E5"/>
    <w:rsid w:val="005E149D"/>
    <w:rsid w:val="005E53EA"/>
    <w:rsid w:val="005F1746"/>
    <w:rsid w:val="005F6717"/>
    <w:rsid w:val="005F7BAF"/>
    <w:rsid w:val="0060081C"/>
    <w:rsid w:val="006022FB"/>
    <w:rsid w:val="006056A3"/>
    <w:rsid w:val="00606387"/>
    <w:rsid w:val="00610F76"/>
    <w:rsid w:val="0061297F"/>
    <w:rsid w:val="0061363A"/>
    <w:rsid w:val="00617CCF"/>
    <w:rsid w:val="00620CBE"/>
    <w:rsid w:val="0062100E"/>
    <w:rsid w:val="00621A9E"/>
    <w:rsid w:val="00622BB4"/>
    <w:rsid w:val="00623087"/>
    <w:rsid w:val="00623306"/>
    <w:rsid w:val="006262A5"/>
    <w:rsid w:val="00627533"/>
    <w:rsid w:val="0063030A"/>
    <w:rsid w:val="006315E9"/>
    <w:rsid w:val="00632BB1"/>
    <w:rsid w:val="00632C3A"/>
    <w:rsid w:val="00632DC0"/>
    <w:rsid w:val="00637AA0"/>
    <w:rsid w:val="00643095"/>
    <w:rsid w:val="00644594"/>
    <w:rsid w:val="0064459C"/>
    <w:rsid w:val="0064684F"/>
    <w:rsid w:val="00650725"/>
    <w:rsid w:val="0065079E"/>
    <w:rsid w:val="00650B9C"/>
    <w:rsid w:val="00651767"/>
    <w:rsid w:val="00654693"/>
    <w:rsid w:val="00655883"/>
    <w:rsid w:val="00655B5A"/>
    <w:rsid w:val="00657D14"/>
    <w:rsid w:val="00660663"/>
    <w:rsid w:val="0066203F"/>
    <w:rsid w:val="006629A6"/>
    <w:rsid w:val="006633A0"/>
    <w:rsid w:val="00666940"/>
    <w:rsid w:val="00676C4B"/>
    <w:rsid w:val="00676E7A"/>
    <w:rsid w:val="00680C2E"/>
    <w:rsid w:val="0068155B"/>
    <w:rsid w:val="00681671"/>
    <w:rsid w:val="00685ABD"/>
    <w:rsid w:val="00691819"/>
    <w:rsid w:val="0069569E"/>
    <w:rsid w:val="006977B0"/>
    <w:rsid w:val="006A03A3"/>
    <w:rsid w:val="006A1E51"/>
    <w:rsid w:val="006A3708"/>
    <w:rsid w:val="006B13A0"/>
    <w:rsid w:val="006B1A7E"/>
    <w:rsid w:val="006B5BA8"/>
    <w:rsid w:val="006B663C"/>
    <w:rsid w:val="006B7279"/>
    <w:rsid w:val="006C1367"/>
    <w:rsid w:val="006C169B"/>
    <w:rsid w:val="006C1CA2"/>
    <w:rsid w:val="006C268F"/>
    <w:rsid w:val="006C3FF0"/>
    <w:rsid w:val="006C741A"/>
    <w:rsid w:val="006D12A6"/>
    <w:rsid w:val="006D4101"/>
    <w:rsid w:val="006D7A64"/>
    <w:rsid w:val="006E1CC3"/>
    <w:rsid w:val="006E2A38"/>
    <w:rsid w:val="006E3297"/>
    <w:rsid w:val="006E49B0"/>
    <w:rsid w:val="006F0466"/>
    <w:rsid w:val="006F3562"/>
    <w:rsid w:val="006F3B30"/>
    <w:rsid w:val="006F4A44"/>
    <w:rsid w:val="006F55F9"/>
    <w:rsid w:val="006F617F"/>
    <w:rsid w:val="006F740E"/>
    <w:rsid w:val="006F7976"/>
    <w:rsid w:val="00700513"/>
    <w:rsid w:val="00701F7B"/>
    <w:rsid w:val="0070204D"/>
    <w:rsid w:val="00702377"/>
    <w:rsid w:val="00702E37"/>
    <w:rsid w:val="00702F70"/>
    <w:rsid w:val="00703469"/>
    <w:rsid w:val="00704D37"/>
    <w:rsid w:val="0070641B"/>
    <w:rsid w:val="00706C9E"/>
    <w:rsid w:val="00706E04"/>
    <w:rsid w:val="007102E6"/>
    <w:rsid w:val="0071409F"/>
    <w:rsid w:val="00717410"/>
    <w:rsid w:val="00720979"/>
    <w:rsid w:val="00721B6F"/>
    <w:rsid w:val="00721C6A"/>
    <w:rsid w:val="007250EA"/>
    <w:rsid w:val="00725A45"/>
    <w:rsid w:val="00735D16"/>
    <w:rsid w:val="00736BFF"/>
    <w:rsid w:val="007424E9"/>
    <w:rsid w:val="00746045"/>
    <w:rsid w:val="007472A9"/>
    <w:rsid w:val="00752C55"/>
    <w:rsid w:val="00755251"/>
    <w:rsid w:val="00755662"/>
    <w:rsid w:val="00755CB4"/>
    <w:rsid w:val="007564A6"/>
    <w:rsid w:val="00757355"/>
    <w:rsid w:val="0075766D"/>
    <w:rsid w:val="00766965"/>
    <w:rsid w:val="00770159"/>
    <w:rsid w:val="0077174A"/>
    <w:rsid w:val="00775899"/>
    <w:rsid w:val="00775E11"/>
    <w:rsid w:val="007762AA"/>
    <w:rsid w:val="00777617"/>
    <w:rsid w:val="00781216"/>
    <w:rsid w:val="00782147"/>
    <w:rsid w:val="0078278F"/>
    <w:rsid w:val="00783AF0"/>
    <w:rsid w:val="00787149"/>
    <w:rsid w:val="00787C4B"/>
    <w:rsid w:val="00791A4F"/>
    <w:rsid w:val="0079284B"/>
    <w:rsid w:val="0079327D"/>
    <w:rsid w:val="007939F8"/>
    <w:rsid w:val="00797A56"/>
    <w:rsid w:val="007A044C"/>
    <w:rsid w:val="007A070E"/>
    <w:rsid w:val="007A14D3"/>
    <w:rsid w:val="007A34C5"/>
    <w:rsid w:val="007A40D8"/>
    <w:rsid w:val="007A5292"/>
    <w:rsid w:val="007A5901"/>
    <w:rsid w:val="007A7217"/>
    <w:rsid w:val="007B31C4"/>
    <w:rsid w:val="007B4A82"/>
    <w:rsid w:val="007B6D99"/>
    <w:rsid w:val="007B7F38"/>
    <w:rsid w:val="007C4A21"/>
    <w:rsid w:val="007C6058"/>
    <w:rsid w:val="007C63A1"/>
    <w:rsid w:val="007C6857"/>
    <w:rsid w:val="007D36A4"/>
    <w:rsid w:val="007D4C0A"/>
    <w:rsid w:val="007D52C9"/>
    <w:rsid w:val="007E02E1"/>
    <w:rsid w:val="007E147F"/>
    <w:rsid w:val="007E1A53"/>
    <w:rsid w:val="007E32AD"/>
    <w:rsid w:val="007E40CD"/>
    <w:rsid w:val="007E7A8D"/>
    <w:rsid w:val="007F0973"/>
    <w:rsid w:val="007F75B4"/>
    <w:rsid w:val="007F7EC7"/>
    <w:rsid w:val="007F7F3B"/>
    <w:rsid w:val="008010E4"/>
    <w:rsid w:val="0080115D"/>
    <w:rsid w:val="00805C18"/>
    <w:rsid w:val="008104CC"/>
    <w:rsid w:val="0082012D"/>
    <w:rsid w:val="0082159F"/>
    <w:rsid w:val="008226C0"/>
    <w:rsid w:val="00825E2B"/>
    <w:rsid w:val="00827BFC"/>
    <w:rsid w:val="00827EA4"/>
    <w:rsid w:val="0083312C"/>
    <w:rsid w:val="00835B9B"/>
    <w:rsid w:val="00841396"/>
    <w:rsid w:val="00843136"/>
    <w:rsid w:val="00844162"/>
    <w:rsid w:val="00847246"/>
    <w:rsid w:val="0085192C"/>
    <w:rsid w:val="00853068"/>
    <w:rsid w:val="008532F5"/>
    <w:rsid w:val="00853453"/>
    <w:rsid w:val="00854D34"/>
    <w:rsid w:val="00855339"/>
    <w:rsid w:val="008557DA"/>
    <w:rsid w:val="008573EA"/>
    <w:rsid w:val="00860B2A"/>
    <w:rsid w:val="0086189A"/>
    <w:rsid w:val="00864F61"/>
    <w:rsid w:val="00867FAF"/>
    <w:rsid w:val="008701DB"/>
    <w:rsid w:val="008715BA"/>
    <w:rsid w:val="00871C1D"/>
    <w:rsid w:val="00876954"/>
    <w:rsid w:val="008774F0"/>
    <w:rsid w:val="00877B64"/>
    <w:rsid w:val="00883B03"/>
    <w:rsid w:val="0088580D"/>
    <w:rsid w:val="00886198"/>
    <w:rsid w:val="0088782E"/>
    <w:rsid w:val="00887890"/>
    <w:rsid w:val="00891033"/>
    <w:rsid w:val="00893D11"/>
    <w:rsid w:val="0089451F"/>
    <w:rsid w:val="00894C8D"/>
    <w:rsid w:val="0089573D"/>
    <w:rsid w:val="00897B05"/>
    <w:rsid w:val="008A01A1"/>
    <w:rsid w:val="008A41D8"/>
    <w:rsid w:val="008A6DD8"/>
    <w:rsid w:val="008A7F4E"/>
    <w:rsid w:val="008B0F87"/>
    <w:rsid w:val="008B0FC6"/>
    <w:rsid w:val="008B2C62"/>
    <w:rsid w:val="008B4894"/>
    <w:rsid w:val="008C0568"/>
    <w:rsid w:val="008C0C36"/>
    <w:rsid w:val="008C169A"/>
    <w:rsid w:val="008C21EF"/>
    <w:rsid w:val="008C2D31"/>
    <w:rsid w:val="008C3872"/>
    <w:rsid w:val="008C5ABB"/>
    <w:rsid w:val="008C6DC0"/>
    <w:rsid w:val="008D0E04"/>
    <w:rsid w:val="008D1573"/>
    <w:rsid w:val="008D3D15"/>
    <w:rsid w:val="008D5D61"/>
    <w:rsid w:val="008E3084"/>
    <w:rsid w:val="008E3428"/>
    <w:rsid w:val="008E4552"/>
    <w:rsid w:val="008E5176"/>
    <w:rsid w:val="008E5FBB"/>
    <w:rsid w:val="008F3F6A"/>
    <w:rsid w:val="008F5310"/>
    <w:rsid w:val="008F716D"/>
    <w:rsid w:val="00902393"/>
    <w:rsid w:val="009030C9"/>
    <w:rsid w:val="009038D6"/>
    <w:rsid w:val="00903D6A"/>
    <w:rsid w:val="009048EA"/>
    <w:rsid w:val="00905B1C"/>
    <w:rsid w:val="00905E8F"/>
    <w:rsid w:val="009064B4"/>
    <w:rsid w:val="00906C09"/>
    <w:rsid w:val="00907893"/>
    <w:rsid w:val="00907ACC"/>
    <w:rsid w:val="009109C4"/>
    <w:rsid w:val="009123DF"/>
    <w:rsid w:val="00912E0A"/>
    <w:rsid w:val="0092006E"/>
    <w:rsid w:val="00920270"/>
    <w:rsid w:val="00921456"/>
    <w:rsid w:val="009221D8"/>
    <w:rsid w:val="00922D12"/>
    <w:rsid w:val="00923750"/>
    <w:rsid w:val="0092519D"/>
    <w:rsid w:val="00925429"/>
    <w:rsid w:val="009277BD"/>
    <w:rsid w:val="00932839"/>
    <w:rsid w:val="00933697"/>
    <w:rsid w:val="00933871"/>
    <w:rsid w:val="00947A13"/>
    <w:rsid w:val="00950CCB"/>
    <w:rsid w:val="00951794"/>
    <w:rsid w:val="00952575"/>
    <w:rsid w:val="0095313F"/>
    <w:rsid w:val="00953E07"/>
    <w:rsid w:val="00954B24"/>
    <w:rsid w:val="009563EB"/>
    <w:rsid w:val="00960C28"/>
    <w:rsid w:val="0096495B"/>
    <w:rsid w:val="00965609"/>
    <w:rsid w:val="00965D0A"/>
    <w:rsid w:val="00966636"/>
    <w:rsid w:val="009666D4"/>
    <w:rsid w:val="009705F5"/>
    <w:rsid w:val="00972812"/>
    <w:rsid w:val="0097285C"/>
    <w:rsid w:val="00973629"/>
    <w:rsid w:val="00973914"/>
    <w:rsid w:val="009741EB"/>
    <w:rsid w:val="00974D2B"/>
    <w:rsid w:val="009818AA"/>
    <w:rsid w:val="00981F60"/>
    <w:rsid w:val="009829F1"/>
    <w:rsid w:val="00982A60"/>
    <w:rsid w:val="00983545"/>
    <w:rsid w:val="00983EC3"/>
    <w:rsid w:val="00984D95"/>
    <w:rsid w:val="00986D7C"/>
    <w:rsid w:val="009875AA"/>
    <w:rsid w:val="00987A40"/>
    <w:rsid w:val="00990D9D"/>
    <w:rsid w:val="009910A5"/>
    <w:rsid w:val="009916D1"/>
    <w:rsid w:val="00993036"/>
    <w:rsid w:val="009A00E7"/>
    <w:rsid w:val="009A3598"/>
    <w:rsid w:val="009A6FBC"/>
    <w:rsid w:val="009B0895"/>
    <w:rsid w:val="009B402D"/>
    <w:rsid w:val="009B4F4F"/>
    <w:rsid w:val="009B5279"/>
    <w:rsid w:val="009B5506"/>
    <w:rsid w:val="009B640F"/>
    <w:rsid w:val="009C0099"/>
    <w:rsid w:val="009C1931"/>
    <w:rsid w:val="009C22BC"/>
    <w:rsid w:val="009C254C"/>
    <w:rsid w:val="009C4A83"/>
    <w:rsid w:val="009D11DB"/>
    <w:rsid w:val="009D19CA"/>
    <w:rsid w:val="009D730A"/>
    <w:rsid w:val="009D7858"/>
    <w:rsid w:val="009E013B"/>
    <w:rsid w:val="009E2DF3"/>
    <w:rsid w:val="009E5843"/>
    <w:rsid w:val="009E75EC"/>
    <w:rsid w:val="009F1C0D"/>
    <w:rsid w:val="009F1F8D"/>
    <w:rsid w:val="009F20DE"/>
    <w:rsid w:val="009F7436"/>
    <w:rsid w:val="00A0408D"/>
    <w:rsid w:val="00A0532C"/>
    <w:rsid w:val="00A065AC"/>
    <w:rsid w:val="00A06B75"/>
    <w:rsid w:val="00A0705C"/>
    <w:rsid w:val="00A12D71"/>
    <w:rsid w:val="00A139B8"/>
    <w:rsid w:val="00A147A9"/>
    <w:rsid w:val="00A2345C"/>
    <w:rsid w:val="00A2489C"/>
    <w:rsid w:val="00A25AE9"/>
    <w:rsid w:val="00A26D2F"/>
    <w:rsid w:val="00A324DB"/>
    <w:rsid w:val="00A329CD"/>
    <w:rsid w:val="00A32D03"/>
    <w:rsid w:val="00A3457A"/>
    <w:rsid w:val="00A35C7B"/>
    <w:rsid w:val="00A366F3"/>
    <w:rsid w:val="00A438CF"/>
    <w:rsid w:val="00A44EEB"/>
    <w:rsid w:val="00A522E5"/>
    <w:rsid w:val="00A5243F"/>
    <w:rsid w:val="00A54393"/>
    <w:rsid w:val="00A54538"/>
    <w:rsid w:val="00A5456E"/>
    <w:rsid w:val="00A57C76"/>
    <w:rsid w:val="00A61099"/>
    <w:rsid w:val="00A637A4"/>
    <w:rsid w:val="00A643E1"/>
    <w:rsid w:val="00A67376"/>
    <w:rsid w:val="00A70EAE"/>
    <w:rsid w:val="00A724E7"/>
    <w:rsid w:val="00A72883"/>
    <w:rsid w:val="00A72A32"/>
    <w:rsid w:val="00A735CF"/>
    <w:rsid w:val="00A74BC1"/>
    <w:rsid w:val="00A7575E"/>
    <w:rsid w:val="00A758C6"/>
    <w:rsid w:val="00A76CD6"/>
    <w:rsid w:val="00A76F15"/>
    <w:rsid w:val="00A774D4"/>
    <w:rsid w:val="00A80831"/>
    <w:rsid w:val="00A821C8"/>
    <w:rsid w:val="00A828C9"/>
    <w:rsid w:val="00A83C63"/>
    <w:rsid w:val="00A84962"/>
    <w:rsid w:val="00A84A00"/>
    <w:rsid w:val="00A85E4D"/>
    <w:rsid w:val="00A86637"/>
    <w:rsid w:val="00A92F44"/>
    <w:rsid w:val="00A931B1"/>
    <w:rsid w:val="00A943A0"/>
    <w:rsid w:val="00A9663E"/>
    <w:rsid w:val="00A9733A"/>
    <w:rsid w:val="00AA0FBE"/>
    <w:rsid w:val="00AA1D44"/>
    <w:rsid w:val="00AA41B0"/>
    <w:rsid w:val="00AA45FE"/>
    <w:rsid w:val="00AA5C86"/>
    <w:rsid w:val="00AA6151"/>
    <w:rsid w:val="00AA68DA"/>
    <w:rsid w:val="00AA6F75"/>
    <w:rsid w:val="00AB0493"/>
    <w:rsid w:val="00AB1195"/>
    <w:rsid w:val="00AB5FED"/>
    <w:rsid w:val="00AB6131"/>
    <w:rsid w:val="00AC14C2"/>
    <w:rsid w:val="00AC6423"/>
    <w:rsid w:val="00AC7EA8"/>
    <w:rsid w:val="00AC7F41"/>
    <w:rsid w:val="00AD1807"/>
    <w:rsid w:val="00AD228E"/>
    <w:rsid w:val="00AD2FF8"/>
    <w:rsid w:val="00AD4506"/>
    <w:rsid w:val="00AD49C7"/>
    <w:rsid w:val="00AD4B9A"/>
    <w:rsid w:val="00AD5D57"/>
    <w:rsid w:val="00AD736B"/>
    <w:rsid w:val="00AE1A9A"/>
    <w:rsid w:val="00AF1F4C"/>
    <w:rsid w:val="00AF3115"/>
    <w:rsid w:val="00AF6607"/>
    <w:rsid w:val="00AF74A2"/>
    <w:rsid w:val="00AF7567"/>
    <w:rsid w:val="00B00546"/>
    <w:rsid w:val="00B01106"/>
    <w:rsid w:val="00B04AB3"/>
    <w:rsid w:val="00B06891"/>
    <w:rsid w:val="00B06CD8"/>
    <w:rsid w:val="00B07DD0"/>
    <w:rsid w:val="00B11DE3"/>
    <w:rsid w:val="00B120CB"/>
    <w:rsid w:val="00B14FC9"/>
    <w:rsid w:val="00B15B1E"/>
    <w:rsid w:val="00B16440"/>
    <w:rsid w:val="00B22337"/>
    <w:rsid w:val="00B23499"/>
    <w:rsid w:val="00B2510E"/>
    <w:rsid w:val="00B256F5"/>
    <w:rsid w:val="00B30333"/>
    <w:rsid w:val="00B30E38"/>
    <w:rsid w:val="00B32DD6"/>
    <w:rsid w:val="00B334D9"/>
    <w:rsid w:val="00B35CB6"/>
    <w:rsid w:val="00B35CD5"/>
    <w:rsid w:val="00B366CD"/>
    <w:rsid w:val="00B37944"/>
    <w:rsid w:val="00B40827"/>
    <w:rsid w:val="00B40E9F"/>
    <w:rsid w:val="00B42165"/>
    <w:rsid w:val="00B4261E"/>
    <w:rsid w:val="00B43896"/>
    <w:rsid w:val="00B43EA4"/>
    <w:rsid w:val="00B44BE2"/>
    <w:rsid w:val="00B5166C"/>
    <w:rsid w:val="00B533F3"/>
    <w:rsid w:val="00B579DA"/>
    <w:rsid w:val="00B603DF"/>
    <w:rsid w:val="00B60EC5"/>
    <w:rsid w:val="00B6334D"/>
    <w:rsid w:val="00B65CA2"/>
    <w:rsid w:val="00B65F08"/>
    <w:rsid w:val="00B7066A"/>
    <w:rsid w:val="00B72238"/>
    <w:rsid w:val="00B75A30"/>
    <w:rsid w:val="00B75C7A"/>
    <w:rsid w:val="00B75D75"/>
    <w:rsid w:val="00B762E9"/>
    <w:rsid w:val="00B82DFC"/>
    <w:rsid w:val="00B840DE"/>
    <w:rsid w:val="00B9764D"/>
    <w:rsid w:val="00B97CD1"/>
    <w:rsid w:val="00B97F82"/>
    <w:rsid w:val="00BA1350"/>
    <w:rsid w:val="00BA5346"/>
    <w:rsid w:val="00BA5A7C"/>
    <w:rsid w:val="00BB167B"/>
    <w:rsid w:val="00BB2BE2"/>
    <w:rsid w:val="00BC31C3"/>
    <w:rsid w:val="00BC4CC9"/>
    <w:rsid w:val="00BC517A"/>
    <w:rsid w:val="00BC64E0"/>
    <w:rsid w:val="00BD1B24"/>
    <w:rsid w:val="00BD4507"/>
    <w:rsid w:val="00BD4715"/>
    <w:rsid w:val="00BD62DC"/>
    <w:rsid w:val="00BE66E9"/>
    <w:rsid w:val="00BF050C"/>
    <w:rsid w:val="00BF1A42"/>
    <w:rsid w:val="00BF1F45"/>
    <w:rsid w:val="00BF214F"/>
    <w:rsid w:val="00BF415B"/>
    <w:rsid w:val="00BF77D2"/>
    <w:rsid w:val="00C01258"/>
    <w:rsid w:val="00C06F49"/>
    <w:rsid w:val="00C100A8"/>
    <w:rsid w:val="00C1025D"/>
    <w:rsid w:val="00C1123E"/>
    <w:rsid w:val="00C11FA0"/>
    <w:rsid w:val="00C14721"/>
    <w:rsid w:val="00C163E5"/>
    <w:rsid w:val="00C20288"/>
    <w:rsid w:val="00C2063B"/>
    <w:rsid w:val="00C258A2"/>
    <w:rsid w:val="00C31655"/>
    <w:rsid w:val="00C3258E"/>
    <w:rsid w:val="00C37773"/>
    <w:rsid w:val="00C42BF7"/>
    <w:rsid w:val="00C4406C"/>
    <w:rsid w:val="00C44D21"/>
    <w:rsid w:val="00C460BB"/>
    <w:rsid w:val="00C46221"/>
    <w:rsid w:val="00C46502"/>
    <w:rsid w:val="00C466D4"/>
    <w:rsid w:val="00C5243B"/>
    <w:rsid w:val="00C61952"/>
    <w:rsid w:val="00C61EA1"/>
    <w:rsid w:val="00C7301E"/>
    <w:rsid w:val="00C732A2"/>
    <w:rsid w:val="00C7347A"/>
    <w:rsid w:val="00C75862"/>
    <w:rsid w:val="00C7601A"/>
    <w:rsid w:val="00C77F68"/>
    <w:rsid w:val="00C81537"/>
    <w:rsid w:val="00C868C9"/>
    <w:rsid w:val="00C86AE8"/>
    <w:rsid w:val="00C86E5C"/>
    <w:rsid w:val="00C871D8"/>
    <w:rsid w:val="00C905FF"/>
    <w:rsid w:val="00C941BB"/>
    <w:rsid w:val="00C95476"/>
    <w:rsid w:val="00C96625"/>
    <w:rsid w:val="00CA4862"/>
    <w:rsid w:val="00CA6048"/>
    <w:rsid w:val="00CB6829"/>
    <w:rsid w:val="00CC1ED6"/>
    <w:rsid w:val="00CC2514"/>
    <w:rsid w:val="00CC30FD"/>
    <w:rsid w:val="00CC3A9E"/>
    <w:rsid w:val="00CC7161"/>
    <w:rsid w:val="00CD26CC"/>
    <w:rsid w:val="00CD5D0E"/>
    <w:rsid w:val="00CD62FF"/>
    <w:rsid w:val="00CD65F4"/>
    <w:rsid w:val="00CD725C"/>
    <w:rsid w:val="00CE0617"/>
    <w:rsid w:val="00CE0B73"/>
    <w:rsid w:val="00CE385E"/>
    <w:rsid w:val="00CE52FF"/>
    <w:rsid w:val="00CE5E91"/>
    <w:rsid w:val="00CE74F1"/>
    <w:rsid w:val="00CF0EEE"/>
    <w:rsid w:val="00CF7085"/>
    <w:rsid w:val="00D00190"/>
    <w:rsid w:val="00D02684"/>
    <w:rsid w:val="00D02A92"/>
    <w:rsid w:val="00D02FD7"/>
    <w:rsid w:val="00D05F59"/>
    <w:rsid w:val="00D0631A"/>
    <w:rsid w:val="00D10919"/>
    <w:rsid w:val="00D11B13"/>
    <w:rsid w:val="00D11CD0"/>
    <w:rsid w:val="00D11F0F"/>
    <w:rsid w:val="00D12263"/>
    <w:rsid w:val="00D125B3"/>
    <w:rsid w:val="00D15A00"/>
    <w:rsid w:val="00D1681C"/>
    <w:rsid w:val="00D17DFE"/>
    <w:rsid w:val="00D212C2"/>
    <w:rsid w:val="00D21F2D"/>
    <w:rsid w:val="00D22AE9"/>
    <w:rsid w:val="00D2369A"/>
    <w:rsid w:val="00D23768"/>
    <w:rsid w:val="00D240D2"/>
    <w:rsid w:val="00D24AA1"/>
    <w:rsid w:val="00D2673B"/>
    <w:rsid w:val="00D26A60"/>
    <w:rsid w:val="00D27C01"/>
    <w:rsid w:val="00D27DC5"/>
    <w:rsid w:val="00D309C8"/>
    <w:rsid w:val="00D314CD"/>
    <w:rsid w:val="00D321E3"/>
    <w:rsid w:val="00D3221D"/>
    <w:rsid w:val="00D3309A"/>
    <w:rsid w:val="00D367A3"/>
    <w:rsid w:val="00D37237"/>
    <w:rsid w:val="00D45F63"/>
    <w:rsid w:val="00D50E4B"/>
    <w:rsid w:val="00D55271"/>
    <w:rsid w:val="00D560CB"/>
    <w:rsid w:val="00D6007F"/>
    <w:rsid w:val="00D6070D"/>
    <w:rsid w:val="00D6295D"/>
    <w:rsid w:val="00D71094"/>
    <w:rsid w:val="00D71772"/>
    <w:rsid w:val="00D724EC"/>
    <w:rsid w:val="00D7523F"/>
    <w:rsid w:val="00D77F49"/>
    <w:rsid w:val="00D80068"/>
    <w:rsid w:val="00D812D4"/>
    <w:rsid w:val="00D818FD"/>
    <w:rsid w:val="00D87B66"/>
    <w:rsid w:val="00D91743"/>
    <w:rsid w:val="00D95293"/>
    <w:rsid w:val="00D9549B"/>
    <w:rsid w:val="00D97E94"/>
    <w:rsid w:val="00DA3BB2"/>
    <w:rsid w:val="00DA45BD"/>
    <w:rsid w:val="00DA5DB1"/>
    <w:rsid w:val="00DA5F25"/>
    <w:rsid w:val="00DA74A3"/>
    <w:rsid w:val="00DB315B"/>
    <w:rsid w:val="00DB3801"/>
    <w:rsid w:val="00DB43FA"/>
    <w:rsid w:val="00DB71D0"/>
    <w:rsid w:val="00DB7B9D"/>
    <w:rsid w:val="00DC0208"/>
    <w:rsid w:val="00DC0B6B"/>
    <w:rsid w:val="00DC1B39"/>
    <w:rsid w:val="00DC22DD"/>
    <w:rsid w:val="00DC2E5A"/>
    <w:rsid w:val="00DC4E3E"/>
    <w:rsid w:val="00DC6904"/>
    <w:rsid w:val="00DD153D"/>
    <w:rsid w:val="00DD1BDA"/>
    <w:rsid w:val="00DD519C"/>
    <w:rsid w:val="00DD5542"/>
    <w:rsid w:val="00DD57DE"/>
    <w:rsid w:val="00DE2B13"/>
    <w:rsid w:val="00DE40EE"/>
    <w:rsid w:val="00DE63FC"/>
    <w:rsid w:val="00DE6E40"/>
    <w:rsid w:val="00DE7132"/>
    <w:rsid w:val="00DF0A19"/>
    <w:rsid w:val="00DF1A0E"/>
    <w:rsid w:val="00DF2BDC"/>
    <w:rsid w:val="00DF3D6A"/>
    <w:rsid w:val="00DF5820"/>
    <w:rsid w:val="00E00178"/>
    <w:rsid w:val="00E01F91"/>
    <w:rsid w:val="00E053E7"/>
    <w:rsid w:val="00E069A8"/>
    <w:rsid w:val="00E07612"/>
    <w:rsid w:val="00E1163E"/>
    <w:rsid w:val="00E11AEE"/>
    <w:rsid w:val="00E12BFE"/>
    <w:rsid w:val="00E12F0B"/>
    <w:rsid w:val="00E13832"/>
    <w:rsid w:val="00E13AA1"/>
    <w:rsid w:val="00E155FC"/>
    <w:rsid w:val="00E159DD"/>
    <w:rsid w:val="00E15DBB"/>
    <w:rsid w:val="00E1637E"/>
    <w:rsid w:val="00E2143F"/>
    <w:rsid w:val="00E24724"/>
    <w:rsid w:val="00E301BE"/>
    <w:rsid w:val="00E32AAD"/>
    <w:rsid w:val="00E35F82"/>
    <w:rsid w:val="00E3613D"/>
    <w:rsid w:val="00E362EF"/>
    <w:rsid w:val="00E365B8"/>
    <w:rsid w:val="00E402A7"/>
    <w:rsid w:val="00E41FF3"/>
    <w:rsid w:val="00E42EEB"/>
    <w:rsid w:val="00E43C17"/>
    <w:rsid w:val="00E43EC3"/>
    <w:rsid w:val="00E45000"/>
    <w:rsid w:val="00E50B98"/>
    <w:rsid w:val="00E5175A"/>
    <w:rsid w:val="00E52A42"/>
    <w:rsid w:val="00E53552"/>
    <w:rsid w:val="00E57698"/>
    <w:rsid w:val="00E61262"/>
    <w:rsid w:val="00E637FA"/>
    <w:rsid w:val="00E66BCA"/>
    <w:rsid w:val="00E701BE"/>
    <w:rsid w:val="00E759E6"/>
    <w:rsid w:val="00E76DD2"/>
    <w:rsid w:val="00E77EE3"/>
    <w:rsid w:val="00E801C8"/>
    <w:rsid w:val="00E81225"/>
    <w:rsid w:val="00E812BA"/>
    <w:rsid w:val="00E81CC5"/>
    <w:rsid w:val="00E87292"/>
    <w:rsid w:val="00E87504"/>
    <w:rsid w:val="00E9158F"/>
    <w:rsid w:val="00E91749"/>
    <w:rsid w:val="00E9211A"/>
    <w:rsid w:val="00E9433B"/>
    <w:rsid w:val="00E94CAD"/>
    <w:rsid w:val="00E95AC4"/>
    <w:rsid w:val="00E97C8E"/>
    <w:rsid w:val="00E97CD4"/>
    <w:rsid w:val="00EA1919"/>
    <w:rsid w:val="00EA2D46"/>
    <w:rsid w:val="00EA4514"/>
    <w:rsid w:val="00EA462C"/>
    <w:rsid w:val="00EA5804"/>
    <w:rsid w:val="00EB1024"/>
    <w:rsid w:val="00EB2331"/>
    <w:rsid w:val="00EB2ECB"/>
    <w:rsid w:val="00EB3830"/>
    <w:rsid w:val="00EB60A4"/>
    <w:rsid w:val="00EB70AF"/>
    <w:rsid w:val="00EC032F"/>
    <w:rsid w:val="00EC4B28"/>
    <w:rsid w:val="00EC4D3E"/>
    <w:rsid w:val="00EC600A"/>
    <w:rsid w:val="00EC70D1"/>
    <w:rsid w:val="00ED12FD"/>
    <w:rsid w:val="00ED2B23"/>
    <w:rsid w:val="00ED34E6"/>
    <w:rsid w:val="00EE0825"/>
    <w:rsid w:val="00EE0E2A"/>
    <w:rsid w:val="00EE1035"/>
    <w:rsid w:val="00EE1ACD"/>
    <w:rsid w:val="00EE2360"/>
    <w:rsid w:val="00EE2BCE"/>
    <w:rsid w:val="00EE45C8"/>
    <w:rsid w:val="00EE6144"/>
    <w:rsid w:val="00EE61AF"/>
    <w:rsid w:val="00EE7497"/>
    <w:rsid w:val="00EF02F5"/>
    <w:rsid w:val="00EF11C6"/>
    <w:rsid w:val="00EF160C"/>
    <w:rsid w:val="00EF1D74"/>
    <w:rsid w:val="00EF4572"/>
    <w:rsid w:val="00EF5551"/>
    <w:rsid w:val="00EF7327"/>
    <w:rsid w:val="00F0178E"/>
    <w:rsid w:val="00F0275D"/>
    <w:rsid w:val="00F0342E"/>
    <w:rsid w:val="00F03704"/>
    <w:rsid w:val="00F03BA9"/>
    <w:rsid w:val="00F05B60"/>
    <w:rsid w:val="00F066B0"/>
    <w:rsid w:val="00F06CCB"/>
    <w:rsid w:val="00F151FF"/>
    <w:rsid w:val="00F159D4"/>
    <w:rsid w:val="00F20BFA"/>
    <w:rsid w:val="00F2106A"/>
    <w:rsid w:val="00F23004"/>
    <w:rsid w:val="00F23E96"/>
    <w:rsid w:val="00F26873"/>
    <w:rsid w:val="00F27221"/>
    <w:rsid w:val="00F27294"/>
    <w:rsid w:val="00F30D77"/>
    <w:rsid w:val="00F32475"/>
    <w:rsid w:val="00F34E21"/>
    <w:rsid w:val="00F3782D"/>
    <w:rsid w:val="00F4120B"/>
    <w:rsid w:val="00F45724"/>
    <w:rsid w:val="00F5003C"/>
    <w:rsid w:val="00F55244"/>
    <w:rsid w:val="00F6032A"/>
    <w:rsid w:val="00F61F42"/>
    <w:rsid w:val="00F623D0"/>
    <w:rsid w:val="00F662A5"/>
    <w:rsid w:val="00F67181"/>
    <w:rsid w:val="00F67F57"/>
    <w:rsid w:val="00F721C6"/>
    <w:rsid w:val="00F76F05"/>
    <w:rsid w:val="00F821A5"/>
    <w:rsid w:val="00F836C9"/>
    <w:rsid w:val="00F84A24"/>
    <w:rsid w:val="00F90B93"/>
    <w:rsid w:val="00F90EBB"/>
    <w:rsid w:val="00F9294D"/>
    <w:rsid w:val="00F96277"/>
    <w:rsid w:val="00F966F6"/>
    <w:rsid w:val="00F96C3E"/>
    <w:rsid w:val="00F976E4"/>
    <w:rsid w:val="00F97B27"/>
    <w:rsid w:val="00FA0E2B"/>
    <w:rsid w:val="00FA325A"/>
    <w:rsid w:val="00FA3E81"/>
    <w:rsid w:val="00FA5338"/>
    <w:rsid w:val="00FA7F75"/>
    <w:rsid w:val="00FB08EE"/>
    <w:rsid w:val="00FB34F1"/>
    <w:rsid w:val="00FB3A08"/>
    <w:rsid w:val="00FB4D3D"/>
    <w:rsid w:val="00FB52AA"/>
    <w:rsid w:val="00FB628D"/>
    <w:rsid w:val="00FB7BDE"/>
    <w:rsid w:val="00FC1916"/>
    <w:rsid w:val="00FC5B9B"/>
    <w:rsid w:val="00FC5C8A"/>
    <w:rsid w:val="00FC7C68"/>
    <w:rsid w:val="00FD009D"/>
    <w:rsid w:val="00FD0AD1"/>
    <w:rsid w:val="00FD2CD1"/>
    <w:rsid w:val="00FE1A16"/>
    <w:rsid w:val="00FF05E4"/>
    <w:rsid w:val="00FF0D3C"/>
    <w:rsid w:val="00FF25EF"/>
    <w:rsid w:val="00FF52FA"/>
    <w:rsid w:val="00FF5E8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49250"/>
  <w15:docId w15:val="{32B07C7C-A767-41B8-B7A0-A03F2DFDA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il-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89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
    <w:basedOn w:val="Normal"/>
    <w:link w:val="ListParagraphChar"/>
    <w:uiPriority w:val="34"/>
    <w:qFormat/>
    <w:rsid w:val="009B0895"/>
    <w:pPr>
      <w:ind w:left="720"/>
      <w:contextualSpacing/>
    </w:pPr>
    <w:rPr>
      <w:rFonts w:ascii="Calibri" w:eastAsia="Calibri" w:hAnsi="Calibri"/>
      <w:sz w:val="22"/>
      <w:szCs w:val="22"/>
    </w:rPr>
  </w:style>
  <w:style w:type="table" w:styleId="TableGrid">
    <w:name w:val="Table Grid"/>
    <w:basedOn w:val="TableNormal"/>
    <w:uiPriority w:val="39"/>
    <w:rsid w:val="00BB2BE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56EFF"/>
    <w:pPr>
      <w:tabs>
        <w:tab w:val="center" w:pos="4680"/>
        <w:tab w:val="right" w:pos="9360"/>
      </w:tabs>
    </w:pPr>
  </w:style>
  <w:style w:type="character" w:customStyle="1" w:styleId="HeaderChar">
    <w:name w:val="Header Char"/>
    <w:basedOn w:val="DefaultParagraphFont"/>
    <w:link w:val="Header"/>
    <w:uiPriority w:val="99"/>
    <w:rsid w:val="00056EF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56EFF"/>
    <w:pPr>
      <w:tabs>
        <w:tab w:val="center" w:pos="4680"/>
        <w:tab w:val="right" w:pos="9360"/>
      </w:tabs>
    </w:pPr>
  </w:style>
  <w:style w:type="character" w:customStyle="1" w:styleId="FooterChar">
    <w:name w:val="Footer Char"/>
    <w:basedOn w:val="DefaultParagraphFont"/>
    <w:link w:val="Footer"/>
    <w:uiPriority w:val="99"/>
    <w:rsid w:val="00056EFF"/>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EE1035"/>
    <w:rPr>
      <w:rFonts w:ascii="Tahoma" w:hAnsi="Tahoma" w:cs="Tahoma"/>
      <w:sz w:val="16"/>
      <w:szCs w:val="16"/>
    </w:rPr>
  </w:style>
  <w:style w:type="character" w:customStyle="1" w:styleId="BalloonTextChar">
    <w:name w:val="Balloon Text Char"/>
    <w:basedOn w:val="DefaultParagraphFont"/>
    <w:link w:val="BalloonText"/>
    <w:uiPriority w:val="99"/>
    <w:semiHidden/>
    <w:rsid w:val="00EE1035"/>
    <w:rPr>
      <w:rFonts w:ascii="Tahoma" w:eastAsia="Times New Roman" w:hAnsi="Tahoma" w:cs="Tahoma"/>
      <w:sz w:val="16"/>
      <w:szCs w:val="16"/>
      <w:lang w:val="en-US"/>
    </w:rPr>
  </w:style>
  <w:style w:type="paragraph" w:styleId="BodyText">
    <w:name w:val="Body Text"/>
    <w:basedOn w:val="Normal"/>
    <w:link w:val="BodyTextChar"/>
    <w:rsid w:val="007762AA"/>
    <w:pPr>
      <w:spacing w:line="360" w:lineRule="auto"/>
      <w:jc w:val="both"/>
    </w:pPr>
    <w:rPr>
      <w:szCs w:val="20"/>
    </w:rPr>
  </w:style>
  <w:style w:type="character" w:customStyle="1" w:styleId="BodyTextChar">
    <w:name w:val="Body Text Char"/>
    <w:basedOn w:val="DefaultParagraphFont"/>
    <w:link w:val="BodyText"/>
    <w:rsid w:val="007762AA"/>
    <w:rPr>
      <w:rFonts w:ascii="Times New Roman" w:eastAsia="Times New Roman" w:hAnsi="Times New Roman" w:cs="Times New Roman"/>
      <w:sz w:val="24"/>
      <w:szCs w:val="20"/>
    </w:rPr>
  </w:style>
  <w:style w:type="character" w:customStyle="1" w:styleId="ListParagraphChar">
    <w:name w:val="List Paragraph Char"/>
    <w:aliases w:val="Resume Title Char"/>
    <w:link w:val="ListParagraph"/>
    <w:uiPriority w:val="34"/>
    <w:qFormat/>
    <w:locked/>
    <w:rsid w:val="00B6334D"/>
    <w:rPr>
      <w:rFonts w:ascii="Calibri" w:eastAsia="Calibri" w:hAnsi="Calibri" w:cs="Times New Roman"/>
      <w:lang w:val="en-US"/>
    </w:rPr>
  </w:style>
  <w:style w:type="character" w:customStyle="1" w:styleId="NoSpacingChar">
    <w:name w:val="No Spacing Char"/>
    <w:link w:val="NoSpacing"/>
    <w:uiPriority w:val="1"/>
    <w:locked/>
    <w:rsid w:val="00F84A24"/>
  </w:style>
  <w:style w:type="paragraph" w:styleId="NoSpacing">
    <w:name w:val="No Spacing"/>
    <w:link w:val="NoSpacingChar"/>
    <w:uiPriority w:val="1"/>
    <w:qFormat/>
    <w:rsid w:val="00F84A24"/>
    <w:pPr>
      <w:spacing w:after="0" w:line="240" w:lineRule="auto"/>
    </w:pPr>
  </w:style>
  <w:style w:type="paragraph" w:styleId="CommentText">
    <w:name w:val="annotation text"/>
    <w:basedOn w:val="Normal"/>
    <w:link w:val="CommentTextChar"/>
    <w:uiPriority w:val="99"/>
    <w:unhideWhenUsed/>
    <w:rsid w:val="000C039F"/>
    <w:rPr>
      <w:sz w:val="20"/>
      <w:szCs w:val="20"/>
    </w:rPr>
  </w:style>
  <w:style w:type="character" w:customStyle="1" w:styleId="CommentTextChar">
    <w:name w:val="Comment Text Char"/>
    <w:basedOn w:val="DefaultParagraphFont"/>
    <w:link w:val="CommentText"/>
    <w:uiPriority w:val="99"/>
    <w:rsid w:val="000C039F"/>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7A5292"/>
    <w:rPr>
      <w:sz w:val="16"/>
      <w:szCs w:val="16"/>
    </w:rPr>
  </w:style>
  <w:style w:type="paragraph" w:styleId="CommentSubject">
    <w:name w:val="annotation subject"/>
    <w:basedOn w:val="CommentText"/>
    <w:next w:val="CommentText"/>
    <w:link w:val="CommentSubjectChar"/>
    <w:uiPriority w:val="99"/>
    <w:semiHidden/>
    <w:unhideWhenUsed/>
    <w:rsid w:val="007A5292"/>
    <w:rPr>
      <w:b/>
      <w:bCs/>
    </w:rPr>
  </w:style>
  <w:style w:type="character" w:customStyle="1" w:styleId="CommentSubjectChar">
    <w:name w:val="Comment Subject Char"/>
    <w:basedOn w:val="CommentTextChar"/>
    <w:link w:val="CommentSubject"/>
    <w:uiPriority w:val="99"/>
    <w:semiHidden/>
    <w:rsid w:val="007A529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20523">
      <w:bodyDiv w:val="1"/>
      <w:marLeft w:val="0"/>
      <w:marRight w:val="0"/>
      <w:marTop w:val="0"/>
      <w:marBottom w:val="0"/>
      <w:divBdr>
        <w:top w:val="none" w:sz="0" w:space="0" w:color="auto"/>
        <w:left w:val="none" w:sz="0" w:space="0" w:color="auto"/>
        <w:bottom w:val="none" w:sz="0" w:space="0" w:color="auto"/>
        <w:right w:val="none" w:sz="0" w:space="0" w:color="auto"/>
      </w:divBdr>
    </w:div>
    <w:div w:id="97145884">
      <w:bodyDiv w:val="1"/>
      <w:marLeft w:val="0"/>
      <w:marRight w:val="0"/>
      <w:marTop w:val="0"/>
      <w:marBottom w:val="0"/>
      <w:divBdr>
        <w:top w:val="none" w:sz="0" w:space="0" w:color="auto"/>
        <w:left w:val="none" w:sz="0" w:space="0" w:color="auto"/>
        <w:bottom w:val="none" w:sz="0" w:space="0" w:color="auto"/>
        <w:right w:val="none" w:sz="0" w:space="0" w:color="auto"/>
      </w:divBdr>
    </w:div>
    <w:div w:id="225799378">
      <w:bodyDiv w:val="1"/>
      <w:marLeft w:val="0"/>
      <w:marRight w:val="0"/>
      <w:marTop w:val="0"/>
      <w:marBottom w:val="0"/>
      <w:divBdr>
        <w:top w:val="none" w:sz="0" w:space="0" w:color="auto"/>
        <w:left w:val="none" w:sz="0" w:space="0" w:color="auto"/>
        <w:bottom w:val="none" w:sz="0" w:space="0" w:color="auto"/>
        <w:right w:val="none" w:sz="0" w:space="0" w:color="auto"/>
      </w:divBdr>
    </w:div>
    <w:div w:id="366686526">
      <w:bodyDiv w:val="1"/>
      <w:marLeft w:val="0"/>
      <w:marRight w:val="0"/>
      <w:marTop w:val="0"/>
      <w:marBottom w:val="0"/>
      <w:divBdr>
        <w:top w:val="none" w:sz="0" w:space="0" w:color="auto"/>
        <w:left w:val="none" w:sz="0" w:space="0" w:color="auto"/>
        <w:bottom w:val="none" w:sz="0" w:space="0" w:color="auto"/>
        <w:right w:val="none" w:sz="0" w:space="0" w:color="auto"/>
      </w:divBdr>
    </w:div>
    <w:div w:id="418985157">
      <w:bodyDiv w:val="1"/>
      <w:marLeft w:val="0"/>
      <w:marRight w:val="0"/>
      <w:marTop w:val="0"/>
      <w:marBottom w:val="0"/>
      <w:divBdr>
        <w:top w:val="none" w:sz="0" w:space="0" w:color="auto"/>
        <w:left w:val="none" w:sz="0" w:space="0" w:color="auto"/>
        <w:bottom w:val="none" w:sz="0" w:space="0" w:color="auto"/>
        <w:right w:val="none" w:sz="0" w:space="0" w:color="auto"/>
      </w:divBdr>
    </w:div>
    <w:div w:id="509874664">
      <w:bodyDiv w:val="1"/>
      <w:marLeft w:val="0"/>
      <w:marRight w:val="0"/>
      <w:marTop w:val="0"/>
      <w:marBottom w:val="0"/>
      <w:divBdr>
        <w:top w:val="none" w:sz="0" w:space="0" w:color="auto"/>
        <w:left w:val="none" w:sz="0" w:space="0" w:color="auto"/>
        <w:bottom w:val="none" w:sz="0" w:space="0" w:color="auto"/>
        <w:right w:val="none" w:sz="0" w:space="0" w:color="auto"/>
      </w:divBdr>
    </w:div>
    <w:div w:id="514998781">
      <w:bodyDiv w:val="1"/>
      <w:marLeft w:val="0"/>
      <w:marRight w:val="0"/>
      <w:marTop w:val="0"/>
      <w:marBottom w:val="0"/>
      <w:divBdr>
        <w:top w:val="none" w:sz="0" w:space="0" w:color="auto"/>
        <w:left w:val="none" w:sz="0" w:space="0" w:color="auto"/>
        <w:bottom w:val="none" w:sz="0" w:space="0" w:color="auto"/>
        <w:right w:val="none" w:sz="0" w:space="0" w:color="auto"/>
      </w:divBdr>
    </w:div>
    <w:div w:id="583219893">
      <w:bodyDiv w:val="1"/>
      <w:marLeft w:val="0"/>
      <w:marRight w:val="0"/>
      <w:marTop w:val="0"/>
      <w:marBottom w:val="0"/>
      <w:divBdr>
        <w:top w:val="none" w:sz="0" w:space="0" w:color="auto"/>
        <w:left w:val="none" w:sz="0" w:space="0" w:color="auto"/>
        <w:bottom w:val="none" w:sz="0" w:space="0" w:color="auto"/>
        <w:right w:val="none" w:sz="0" w:space="0" w:color="auto"/>
      </w:divBdr>
    </w:div>
    <w:div w:id="625475809">
      <w:bodyDiv w:val="1"/>
      <w:marLeft w:val="0"/>
      <w:marRight w:val="0"/>
      <w:marTop w:val="0"/>
      <w:marBottom w:val="0"/>
      <w:divBdr>
        <w:top w:val="none" w:sz="0" w:space="0" w:color="auto"/>
        <w:left w:val="none" w:sz="0" w:space="0" w:color="auto"/>
        <w:bottom w:val="none" w:sz="0" w:space="0" w:color="auto"/>
        <w:right w:val="none" w:sz="0" w:space="0" w:color="auto"/>
      </w:divBdr>
    </w:div>
    <w:div w:id="685710064">
      <w:bodyDiv w:val="1"/>
      <w:marLeft w:val="0"/>
      <w:marRight w:val="0"/>
      <w:marTop w:val="0"/>
      <w:marBottom w:val="0"/>
      <w:divBdr>
        <w:top w:val="none" w:sz="0" w:space="0" w:color="auto"/>
        <w:left w:val="none" w:sz="0" w:space="0" w:color="auto"/>
        <w:bottom w:val="none" w:sz="0" w:space="0" w:color="auto"/>
        <w:right w:val="none" w:sz="0" w:space="0" w:color="auto"/>
      </w:divBdr>
    </w:div>
    <w:div w:id="836767887">
      <w:bodyDiv w:val="1"/>
      <w:marLeft w:val="0"/>
      <w:marRight w:val="0"/>
      <w:marTop w:val="0"/>
      <w:marBottom w:val="0"/>
      <w:divBdr>
        <w:top w:val="none" w:sz="0" w:space="0" w:color="auto"/>
        <w:left w:val="none" w:sz="0" w:space="0" w:color="auto"/>
        <w:bottom w:val="none" w:sz="0" w:space="0" w:color="auto"/>
        <w:right w:val="none" w:sz="0" w:space="0" w:color="auto"/>
      </w:divBdr>
    </w:div>
    <w:div w:id="905922651">
      <w:bodyDiv w:val="1"/>
      <w:marLeft w:val="0"/>
      <w:marRight w:val="0"/>
      <w:marTop w:val="0"/>
      <w:marBottom w:val="0"/>
      <w:divBdr>
        <w:top w:val="none" w:sz="0" w:space="0" w:color="auto"/>
        <w:left w:val="none" w:sz="0" w:space="0" w:color="auto"/>
        <w:bottom w:val="none" w:sz="0" w:space="0" w:color="auto"/>
        <w:right w:val="none" w:sz="0" w:space="0" w:color="auto"/>
      </w:divBdr>
    </w:div>
    <w:div w:id="977613469">
      <w:bodyDiv w:val="1"/>
      <w:marLeft w:val="0"/>
      <w:marRight w:val="0"/>
      <w:marTop w:val="0"/>
      <w:marBottom w:val="0"/>
      <w:divBdr>
        <w:top w:val="none" w:sz="0" w:space="0" w:color="auto"/>
        <w:left w:val="none" w:sz="0" w:space="0" w:color="auto"/>
        <w:bottom w:val="none" w:sz="0" w:space="0" w:color="auto"/>
        <w:right w:val="none" w:sz="0" w:space="0" w:color="auto"/>
      </w:divBdr>
    </w:div>
    <w:div w:id="988048973">
      <w:bodyDiv w:val="1"/>
      <w:marLeft w:val="0"/>
      <w:marRight w:val="0"/>
      <w:marTop w:val="0"/>
      <w:marBottom w:val="0"/>
      <w:divBdr>
        <w:top w:val="none" w:sz="0" w:space="0" w:color="auto"/>
        <w:left w:val="none" w:sz="0" w:space="0" w:color="auto"/>
        <w:bottom w:val="none" w:sz="0" w:space="0" w:color="auto"/>
        <w:right w:val="none" w:sz="0" w:space="0" w:color="auto"/>
      </w:divBdr>
    </w:div>
    <w:div w:id="1000546420">
      <w:bodyDiv w:val="1"/>
      <w:marLeft w:val="0"/>
      <w:marRight w:val="0"/>
      <w:marTop w:val="0"/>
      <w:marBottom w:val="0"/>
      <w:divBdr>
        <w:top w:val="none" w:sz="0" w:space="0" w:color="auto"/>
        <w:left w:val="none" w:sz="0" w:space="0" w:color="auto"/>
        <w:bottom w:val="none" w:sz="0" w:space="0" w:color="auto"/>
        <w:right w:val="none" w:sz="0" w:space="0" w:color="auto"/>
      </w:divBdr>
    </w:div>
    <w:div w:id="1066488797">
      <w:bodyDiv w:val="1"/>
      <w:marLeft w:val="0"/>
      <w:marRight w:val="0"/>
      <w:marTop w:val="0"/>
      <w:marBottom w:val="0"/>
      <w:divBdr>
        <w:top w:val="none" w:sz="0" w:space="0" w:color="auto"/>
        <w:left w:val="none" w:sz="0" w:space="0" w:color="auto"/>
        <w:bottom w:val="none" w:sz="0" w:space="0" w:color="auto"/>
        <w:right w:val="none" w:sz="0" w:space="0" w:color="auto"/>
      </w:divBdr>
    </w:div>
    <w:div w:id="1197886459">
      <w:bodyDiv w:val="1"/>
      <w:marLeft w:val="0"/>
      <w:marRight w:val="0"/>
      <w:marTop w:val="0"/>
      <w:marBottom w:val="0"/>
      <w:divBdr>
        <w:top w:val="none" w:sz="0" w:space="0" w:color="auto"/>
        <w:left w:val="none" w:sz="0" w:space="0" w:color="auto"/>
        <w:bottom w:val="none" w:sz="0" w:space="0" w:color="auto"/>
        <w:right w:val="none" w:sz="0" w:space="0" w:color="auto"/>
      </w:divBdr>
    </w:div>
    <w:div w:id="1208686634">
      <w:bodyDiv w:val="1"/>
      <w:marLeft w:val="0"/>
      <w:marRight w:val="0"/>
      <w:marTop w:val="0"/>
      <w:marBottom w:val="0"/>
      <w:divBdr>
        <w:top w:val="none" w:sz="0" w:space="0" w:color="auto"/>
        <w:left w:val="none" w:sz="0" w:space="0" w:color="auto"/>
        <w:bottom w:val="none" w:sz="0" w:space="0" w:color="auto"/>
        <w:right w:val="none" w:sz="0" w:space="0" w:color="auto"/>
      </w:divBdr>
    </w:div>
    <w:div w:id="1326400419">
      <w:bodyDiv w:val="1"/>
      <w:marLeft w:val="0"/>
      <w:marRight w:val="0"/>
      <w:marTop w:val="0"/>
      <w:marBottom w:val="0"/>
      <w:divBdr>
        <w:top w:val="none" w:sz="0" w:space="0" w:color="auto"/>
        <w:left w:val="none" w:sz="0" w:space="0" w:color="auto"/>
        <w:bottom w:val="none" w:sz="0" w:space="0" w:color="auto"/>
        <w:right w:val="none" w:sz="0" w:space="0" w:color="auto"/>
      </w:divBdr>
    </w:div>
    <w:div w:id="1396197566">
      <w:bodyDiv w:val="1"/>
      <w:marLeft w:val="0"/>
      <w:marRight w:val="0"/>
      <w:marTop w:val="0"/>
      <w:marBottom w:val="0"/>
      <w:divBdr>
        <w:top w:val="none" w:sz="0" w:space="0" w:color="auto"/>
        <w:left w:val="none" w:sz="0" w:space="0" w:color="auto"/>
        <w:bottom w:val="none" w:sz="0" w:space="0" w:color="auto"/>
        <w:right w:val="none" w:sz="0" w:space="0" w:color="auto"/>
      </w:divBdr>
    </w:div>
    <w:div w:id="1455173690">
      <w:bodyDiv w:val="1"/>
      <w:marLeft w:val="0"/>
      <w:marRight w:val="0"/>
      <w:marTop w:val="0"/>
      <w:marBottom w:val="0"/>
      <w:divBdr>
        <w:top w:val="none" w:sz="0" w:space="0" w:color="auto"/>
        <w:left w:val="none" w:sz="0" w:space="0" w:color="auto"/>
        <w:bottom w:val="none" w:sz="0" w:space="0" w:color="auto"/>
        <w:right w:val="none" w:sz="0" w:space="0" w:color="auto"/>
      </w:divBdr>
    </w:div>
    <w:div w:id="1497106925">
      <w:bodyDiv w:val="1"/>
      <w:marLeft w:val="0"/>
      <w:marRight w:val="0"/>
      <w:marTop w:val="0"/>
      <w:marBottom w:val="0"/>
      <w:divBdr>
        <w:top w:val="none" w:sz="0" w:space="0" w:color="auto"/>
        <w:left w:val="none" w:sz="0" w:space="0" w:color="auto"/>
        <w:bottom w:val="none" w:sz="0" w:space="0" w:color="auto"/>
        <w:right w:val="none" w:sz="0" w:space="0" w:color="auto"/>
      </w:divBdr>
    </w:div>
    <w:div w:id="1523132261">
      <w:bodyDiv w:val="1"/>
      <w:marLeft w:val="0"/>
      <w:marRight w:val="0"/>
      <w:marTop w:val="0"/>
      <w:marBottom w:val="0"/>
      <w:divBdr>
        <w:top w:val="none" w:sz="0" w:space="0" w:color="auto"/>
        <w:left w:val="none" w:sz="0" w:space="0" w:color="auto"/>
        <w:bottom w:val="none" w:sz="0" w:space="0" w:color="auto"/>
        <w:right w:val="none" w:sz="0" w:space="0" w:color="auto"/>
      </w:divBdr>
    </w:div>
    <w:div w:id="1590701783">
      <w:bodyDiv w:val="1"/>
      <w:marLeft w:val="0"/>
      <w:marRight w:val="0"/>
      <w:marTop w:val="0"/>
      <w:marBottom w:val="0"/>
      <w:divBdr>
        <w:top w:val="none" w:sz="0" w:space="0" w:color="auto"/>
        <w:left w:val="none" w:sz="0" w:space="0" w:color="auto"/>
        <w:bottom w:val="none" w:sz="0" w:space="0" w:color="auto"/>
        <w:right w:val="none" w:sz="0" w:space="0" w:color="auto"/>
      </w:divBdr>
    </w:div>
    <w:div w:id="1704862905">
      <w:bodyDiv w:val="1"/>
      <w:marLeft w:val="0"/>
      <w:marRight w:val="0"/>
      <w:marTop w:val="0"/>
      <w:marBottom w:val="0"/>
      <w:divBdr>
        <w:top w:val="none" w:sz="0" w:space="0" w:color="auto"/>
        <w:left w:val="none" w:sz="0" w:space="0" w:color="auto"/>
        <w:bottom w:val="none" w:sz="0" w:space="0" w:color="auto"/>
        <w:right w:val="none" w:sz="0" w:space="0" w:color="auto"/>
      </w:divBdr>
    </w:div>
    <w:div w:id="1724938408">
      <w:bodyDiv w:val="1"/>
      <w:marLeft w:val="0"/>
      <w:marRight w:val="0"/>
      <w:marTop w:val="0"/>
      <w:marBottom w:val="0"/>
      <w:divBdr>
        <w:top w:val="none" w:sz="0" w:space="0" w:color="auto"/>
        <w:left w:val="none" w:sz="0" w:space="0" w:color="auto"/>
        <w:bottom w:val="none" w:sz="0" w:space="0" w:color="auto"/>
        <w:right w:val="none" w:sz="0" w:space="0" w:color="auto"/>
      </w:divBdr>
    </w:div>
    <w:div w:id="2017688480">
      <w:bodyDiv w:val="1"/>
      <w:marLeft w:val="0"/>
      <w:marRight w:val="0"/>
      <w:marTop w:val="0"/>
      <w:marBottom w:val="0"/>
      <w:divBdr>
        <w:top w:val="none" w:sz="0" w:space="0" w:color="auto"/>
        <w:left w:val="none" w:sz="0" w:space="0" w:color="auto"/>
        <w:bottom w:val="none" w:sz="0" w:space="0" w:color="auto"/>
        <w:right w:val="none" w:sz="0" w:space="0" w:color="auto"/>
      </w:divBdr>
    </w:div>
    <w:div w:id="2033412301">
      <w:bodyDiv w:val="1"/>
      <w:marLeft w:val="0"/>
      <w:marRight w:val="0"/>
      <w:marTop w:val="0"/>
      <w:marBottom w:val="0"/>
      <w:divBdr>
        <w:top w:val="none" w:sz="0" w:space="0" w:color="auto"/>
        <w:left w:val="none" w:sz="0" w:space="0" w:color="auto"/>
        <w:bottom w:val="none" w:sz="0" w:space="0" w:color="auto"/>
        <w:right w:val="none" w:sz="0" w:space="0" w:color="auto"/>
      </w:divBdr>
    </w:div>
    <w:div w:id="2076001135">
      <w:bodyDiv w:val="1"/>
      <w:marLeft w:val="0"/>
      <w:marRight w:val="0"/>
      <w:marTop w:val="0"/>
      <w:marBottom w:val="0"/>
      <w:divBdr>
        <w:top w:val="none" w:sz="0" w:space="0" w:color="auto"/>
        <w:left w:val="none" w:sz="0" w:space="0" w:color="auto"/>
        <w:bottom w:val="none" w:sz="0" w:space="0" w:color="auto"/>
        <w:right w:val="none" w:sz="0" w:space="0" w:color="auto"/>
      </w:divBdr>
    </w:div>
    <w:div w:id="213005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retur\Downloads\JEV%20DETAIL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Sheet2!$C$9</c:f>
              <c:strCache>
                <c:ptCount val="1"/>
                <c:pt idx="0">
                  <c:v>2023</c:v>
                </c:pt>
              </c:strCache>
            </c:strRef>
          </c:tx>
          <c:spPr>
            <a:gradFill flip="none" rotWithShape="1">
              <a:gsLst>
                <a:gs pos="20000">
                  <a:srgbClr val="00B050"/>
                </a:gs>
                <a:gs pos="76000">
                  <a:srgbClr val="92D050"/>
                </a:gs>
              </a:gsLst>
              <a:lin ang="18900000" scaled="1"/>
              <a:tileRect/>
            </a:gradFill>
            <a:ln>
              <a:noFill/>
            </a:ln>
            <a:effectLst/>
            <a:sp3d/>
          </c:spPr>
          <c:invertIfNegative val="0"/>
          <c:cat>
            <c:strRef>
              <c:f>Sheet2!$D$8:$I$8</c:f>
              <c:strCache>
                <c:ptCount val="6"/>
                <c:pt idx="0">
                  <c:v>Assets</c:v>
                </c:pt>
                <c:pt idx="1">
                  <c:v>Liabilities</c:v>
                </c:pt>
                <c:pt idx="2">
                  <c:v>Equity</c:v>
                </c:pt>
                <c:pt idx="3">
                  <c:v>Income</c:v>
                </c:pt>
                <c:pt idx="4">
                  <c:v>Expense</c:v>
                </c:pt>
                <c:pt idx="5">
                  <c:v>Surplus/Deficit</c:v>
                </c:pt>
              </c:strCache>
            </c:strRef>
          </c:cat>
          <c:val>
            <c:numRef>
              <c:f>Sheet2!$D$9:$I$9</c:f>
              <c:numCache>
                <c:formatCode>_(* #,##0.00_);_(* \(#,##0.00\);_(* "-"??_);_(@_)</c:formatCode>
                <c:ptCount val="6"/>
                <c:pt idx="0">
                  <c:v>9721616248.590004</c:v>
                </c:pt>
                <c:pt idx="1">
                  <c:v>1288785161.9399998</c:v>
                </c:pt>
                <c:pt idx="2">
                  <c:v>8432831086.6500006</c:v>
                </c:pt>
                <c:pt idx="3">
                  <c:v>2566382281.3199992</c:v>
                </c:pt>
                <c:pt idx="4">
                  <c:v>2225828431.98</c:v>
                </c:pt>
                <c:pt idx="5">
                  <c:v>340553849.3399992</c:v>
                </c:pt>
              </c:numCache>
            </c:numRef>
          </c:val>
          <c:extLst>
            <c:ext xmlns:c16="http://schemas.microsoft.com/office/drawing/2014/chart" uri="{C3380CC4-5D6E-409C-BE32-E72D297353CC}">
              <c16:uniqueId val="{00000000-77E9-4D62-B5FA-C587E7DCCCC3}"/>
            </c:ext>
          </c:extLst>
        </c:ser>
        <c:ser>
          <c:idx val="1"/>
          <c:order val="1"/>
          <c:tx>
            <c:strRef>
              <c:f>Sheet2!$C$10</c:f>
              <c:strCache>
                <c:ptCount val="1"/>
                <c:pt idx="0">
                  <c:v>2022</c:v>
                </c:pt>
              </c:strCache>
            </c:strRef>
          </c:tx>
          <c:spPr>
            <a:gradFill>
              <a:gsLst>
                <a:gs pos="0">
                  <a:srgbClr val="FFFF00"/>
                </a:gs>
                <a:gs pos="48000">
                  <a:srgbClr val="FFC000"/>
                </a:gs>
              </a:gsLst>
              <a:lin ang="18900000" scaled="1"/>
            </a:gradFill>
            <a:ln>
              <a:noFill/>
            </a:ln>
            <a:effectLst/>
            <a:sp3d/>
          </c:spPr>
          <c:invertIfNegative val="0"/>
          <c:cat>
            <c:strRef>
              <c:f>Sheet2!$D$8:$I$8</c:f>
              <c:strCache>
                <c:ptCount val="6"/>
                <c:pt idx="0">
                  <c:v>Assets</c:v>
                </c:pt>
                <c:pt idx="1">
                  <c:v>Liabilities</c:v>
                </c:pt>
                <c:pt idx="2">
                  <c:v>Equity</c:v>
                </c:pt>
                <c:pt idx="3">
                  <c:v>Income</c:v>
                </c:pt>
                <c:pt idx="4">
                  <c:v>Expense</c:v>
                </c:pt>
                <c:pt idx="5">
                  <c:v>Surplus/Deficit</c:v>
                </c:pt>
              </c:strCache>
            </c:strRef>
          </c:cat>
          <c:val>
            <c:numRef>
              <c:f>Sheet2!$D$10:$I$10</c:f>
              <c:numCache>
                <c:formatCode>_(* #,##0.00_);_(* \(#,##0.00\);_(* "-"??_);_(@_)</c:formatCode>
                <c:ptCount val="6"/>
                <c:pt idx="0">
                  <c:v>9173190588.5900021</c:v>
                </c:pt>
                <c:pt idx="1">
                  <c:v>1020242319.78</c:v>
                </c:pt>
                <c:pt idx="2">
                  <c:v>8152948268.8100004</c:v>
                </c:pt>
                <c:pt idx="3">
                  <c:v>3502689814.0300002</c:v>
                </c:pt>
                <c:pt idx="4">
                  <c:v>3227215821.4700003</c:v>
                </c:pt>
                <c:pt idx="5">
                  <c:v>275473992.55999994</c:v>
                </c:pt>
              </c:numCache>
            </c:numRef>
          </c:val>
          <c:extLst>
            <c:ext xmlns:c16="http://schemas.microsoft.com/office/drawing/2014/chart" uri="{C3380CC4-5D6E-409C-BE32-E72D297353CC}">
              <c16:uniqueId val="{00000001-77E9-4D62-B5FA-C587E7DCCCC3}"/>
            </c:ext>
          </c:extLst>
        </c:ser>
        <c:dLbls>
          <c:showLegendKey val="0"/>
          <c:showVal val="0"/>
          <c:showCatName val="0"/>
          <c:showSerName val="0"/>
          <c:showPercent val="0"/>
          <c:showBubbleSize val="0"/>
        </c:dLbls>
        <c:gapWidth val="150"/>
        <c:shape val="box"/>
        <c:axId val="452088344"/>
        <c:axId val="452091088"/>
        <c:axId val="0"/>
      </c:bar3DChart>
      <c:catAx>
        <c:axId val="4520883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2091088"/>
        <c:crosses val="autoZero"/>
        <c:auto val="1"/>
        <c:lblAlgn val="ctr"/>
        <c:lblOffset val="100"/>
        <c:noMultiLvlLbl val="0"/>
      </c:catAx>
      <c:valAx>
        <c:axId val="452091088"/>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20883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47C1B-9EBF-41F3-AA0F-4C5E4705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6</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COA - Province of La Union</dc:creator>
  <cp:lastModifiedBy>Kevin C. Fesalbon</cp:lastModifiedBy>
  <cp:revision>276</cp:revision>
  <cp:lastPrinted>2022-05-23T08:34:00Z</cp:lastPrinted>
  <dcterms:created xsi:type="dcterms:W3CDTF">2021-06-07T02:50:00Z</dcterms:created>
  <dcterms:modified xsi:type="dcterms:W3CDTF">2024-11-11T06:33:00Z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5ea6aa58a3d987ce7cca72e58d3f2596fa3b179581d99ad6d4a3d1543e6ad5ae</vt:lpwstr>
  </property>
</Properties>
</file>